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6B04" w14:textId="430BC96A" w:rsidR="00417D5A" w:rsidRDefault="00417D5A" w:rsidP="00151419">
      <w:pPr>
        <w:rPr>
          <w:b/>
          <w:bCs/>
        </w:rPr>
      </w:pPr>
    </w:p>
    <w:p w14:paraId="5302C446" w14:textId="57663703" w:rsidR="00417D5A" w:rsidRDefault="00417D5A" w:rsidP="001540EA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D0575" wp14:editId="18599F42">
            <wp:simplePos x="0" y="0"/>
            <wp:positionH relativeFrom="column">
              <wp:posOffset>1847850</wp:posOffset>
            </wp:positionH>
            <wp:positionV relativeFrom="page">
              <wp:posOffset>1250950</wp:posOffset>
            </wp:positionV>
            <wp:extent cx="2178050" cy="590550"/>
            <wp:effectExtent l="0" t="0" r="0" b="0"/>
            <wp:wrapSquare wrapText="bothSides"/>
            <wp:docPr id="1" name="Picture 3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Text&#10;&#10;Description automatically generated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408A1" w14:textId="77777777" w:rsidR="00417D5A" w:rsidRDefault="00417D5A" w:rsidP="001540EA">
      <w:pPr>
        <w:jc w:val="center"/>
        <w:rPr>
          <w:b/>
          <w:bCs/>
        </w:rPr>
      </w:pPr>
    </w:p>
    <w:p w14:paraId="5430D926" w14:textId="77777777" w:rsidR="00417D5A" w:rsidRDefault="00417D5A" w:rsidP="001540EA">
      <w:pPr>
        <w:jc w:val="center"/>
        <w:rPr>
          <w:b/>
          <w:bCs/>
        </w:rPr>
      </w:pPr>
    </w:p>
    <w:p w14:paraId="6A3D1736" w14:textId="6E0BC27B" w:rsidR="004415DC" w:rsidRDefault="004415DC" w:rsidP="001540EA">
      <w:pPr>
        <w:jc w:val="center"/>
        <w:rPr>
          <w:b/>
          <w:bCs/>
        </w:rPr>
      </w:pPr>
      <w:r>
        <w:rPr>
          <w:b/>
          <w:bCs/>
        </w:rPr>
        <w:t xml:space="preserve">Recognition Program </w:t>
      </w:r>
      <w:r w:rsidR="00954151" w:rsidRPr="00954151">
        <w:rPr>
          <w:b/>
          <w:bCs/>
        </w:rPr>
        <w:t xml:space="preserve">Action Plan </w:t>
      </w:r>
    </w:p>
    <w:p w14:paraId="1FFEAD9C" w14:textId="646876D1" w:rsidR="004415DC" w:rsidRDefault="00F04BE4" w:rsidP="004415DC">
      <w:pPr>
        <w:rPr>
          <w:b/>
          <w:bCs/>
        </w:rPr>
      </w:pPr>
      <w:r>
        <w:rPr>
          <w:b/>
          <w:bCs/>
        </w:rPr>
        <w:t xml:space="preserve">Departments of health must complete </w:t>
      </w:r>
      <w:r w:rsidR="00417D5A">
        <w:rPr>
          <w:b/>
          <w:bCs/>
        </w:rPr>
        <w:t>an</w:t>
      </w:r>
      <w:r w:rsidR="004415DC">
        <w:rPr>
          <w:b/>
          <w:bCs/>
        </w:rPr>
        <w:t xml:space="preserve"> action plan</w:t>
      </w:r>
      <w:r>
        <w:rPr>
          <w:b/>
          <w:bCs/>
        </w:rPr>
        <w:t xml:space="preserve"> to receive AFPHS Recognition</w:t>
      </w:r>
      <w:r w:rsidR="004415DC">
        <w:rPr>
          <w:b/>
          <w:bCs/>
        </w:rPr>
        <w:t xml:space="preserve">. </w:t>
      </w:r>
      <w:r w:rsidR="00417D5A">
        <w:rPr>
          <w:b/>
          <w:bCs/>
        </w:rPr>
        <w:t xml:space="preserve"> Please email </w:t>
      </w:r>
      <w:hyperlink r:id="rId11" w:history="1">
        <w:r w:rsidR="004415DC" w:rsidRPr="0092085D">
          <w:rPr>
            <w:rStyle w:val="Hyperlink"/>
            <w:b/>
            <w:bCs/>
          </w:rPr>
          <w:t>afphs@tfah.org</w:t>
        </w:r>
      </w:hyperlink>
      <w:r w:rsidR="00417D5A">
        <w:rPr>
          <w:rStyle w:val="Hyperlink"/>
          <w:b/>
          <w:bCs/>
        </w:rPr>
        <w:t xml:space="preserve"> </w:t>
      </w:r>
      <w:r w:rsidR="00417D5A" w:rsidRPr="00417D5A">
        <w:rPr>
          <w:rStyle w:val="Hyperlink"/>
          <w:b/>
          <w:bCs/>
          <w:color w:val="auto"/>
          <w:u w:val="none"/>
        </w:rPr>
        <w:t>with any questions.</w:t>
      </w:r>
    </w:p>
    <w:p w14:paraId="60B8D06B" w14:textId="5581E0CA" w:rsidR="004415DC" w:rsidRPr="001540EA" w:rsidRDefault="001540EA" w:rsidP="001540EA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1540EA">
        <w:rPr>
          <w:rFonts w:asciiTheme="minorHAnsi" w:eastAsia="Times New Roman" w:hAnsiTheme="minorHAnsi" w:cstheme="minorHAnsi"/>
          <w:b/>
          <w:bCs/>
        </w:rPr>
        <w:t xml:space="preserve">Activities may be selected from </w:t>
      </w:r>
      <w:hyperlink r:id="rId12" w:history="1">
        <w:r w:rsidRPr="006A0070">
          <w:rPr>
            <w:rStyle w:val="Hyperlink"/>
            <w:rFonts w:asciiTheme="minorHAnsi" w:eastAsia="Times New Roman" w:hAnsiTheme="minorHAnsi" w:cstheme="minorHAnsi"/>
            <w:b/>
            <w:bCs/>
          </w:rPr>
          <w:t>the database of examples</w:t>
        </w:r>
      </w:hyperlink>
      <w:r w:rsidRPr="001540EA">
        <w:rPr>
          <w:rFonts w:asciiTheme="minorHAnsi" w:eastAsia="Times New Roman" w:hAnsiTheme="minorHAnsi" w:cstheme="minorHAnsi"/>
          <w:b/>
          <w:bCs/>
        </w:rPr>
        <w:t xml:space="preserve"> outlined according to the 6Cs Framework or </w:t>
      </w:r>
      <w:r w:rsidR="00250358">
        <w:rPr>
          <w:rFonts w:asciiTheme="minorHAnsi" w:eastAsia="Times New Roman" w:hAnsiTheme="minorHAnsi" w:cstheme="minorHAnsi"/>
          <w:b/>
          <w:bCs/>
        </w:rPr>
        <w:t xml:space="preserve">a department </w:t>
      </w:r>
      <w:r w:rsidRPr="001540EA">
        <w:rPr>
          <w:rFonts w:asciiTheme="minorHAnsi" w:eastAsia="Times New Roman" w:hAnsiTheme="minorHAnsi" w:cstheme="minorHAnsi"/>
          <w:b/>
          <w:bCs/>
        </w:rPr>
        <w:t>may select actions that better meet the needs of older adults in their jurisdiction. Activities already under way are eligible for inclusion in the action plan.</w:t>
      </w:r>
    </w:p>
    <w:p w14:paraId="771A4F5E" w14:textId="4D7D62DC" w:rsidR="00890CFE" w:rsidRDefault="00890CFE" w:rsidP="00890CF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B76B1B" w14:paraId="54A395C5" w14:textId="77777777" w:rsidTr="00370AF1">
        <w:tc>
          <w:tcPr>
            <w:tcW w:w="9330" w:type="dxa"/>
            <w:shd w:val="clear" w:color="auto" w:fill="BDD6EE" w:themeFill="accent5" w:themeFillTint="66"/>
          </w:tcPr>
          <w:p w14:paraId="353A48B4" w14:textId="5E4F23EE" w:rsidR="001540EA" w:rsidRDefault="004415DC" w:rsidP="008C2314">
            <w:pPr>
              <w:rPr>
                <w:b/>
                <w:bCs/>
              </w:rPr>
            </w:pPr>
            <w:r>
              <w:rPr>
                <w:b/>
                <w:bCs/>
              </w:rPr>
              <w:t>Department of Health (Name):</w:t>
            </w:r>
            <w:r w:rsidR="009D39C1">
              <w:rPr>
                <w:b/>
                <w:bCs/>
              </w:rPr>
              <w:t xml:space="preserve"> </w:t>
            </w:r>
          </w:p>
          <w:p w14:paraId="289CEF53" w14:textId="77777777" w:rsidR="004415DC" w:rsidRDefault="004415DC" w:rsidP="008C2314">
            <w:pPr>
              <w:rPr>
                <w:b/>
                <w:bCs/>
              </w:rPr>
            </w:pPr>
          </w:p>
          <w:p w14:paraId="340E4C91" w14:textId="1A271539" w:rsidR="004415DC" w:rsidRDefault="004415DC" w:rsidP="008C2314">
            <w:pPr>
              <w:rPr>
                <w:b/>
                <w:bCs/>
              </w:rPr>
            </w:pPr>
            <w:r>
              <w:rPr>
                <w:b/>
                <w:bCs/>
              </w:rPr>
              <w:t>Primary Contact for Completing the Recognition Program (Name &amp; Email):</w:t>
            </w:r>
          </w:p>
          <w:p w14:paraId="5753BF2B" w14:textId="77777777" w:rsidR="001540EA" w:rsidRDefault="001540EA" w:rsidP="008C2314">
            <w:pPr>
              <w:rPr>
                <w:b/>
                <w:bCs/>
              </w:rPr>
            </w:pPr>
          </w:p>
          <w:p w14:paraId="6D153A74" w14:textId="6B2758E0" w:rsidR="004415DC" w:rsidRDefault="004415DC" w:rsidP="008C2314">
            <w:pPr>
              <w:rPr>
                <w:b/>
                <w:bCs/>
              </w:rPr>
            </w:pPr>
            <w:r>
              <w:rPr>
                <w:b/>
                <w:bCs/>
              </w:rPr>
              <w:t>Location (City &amp; State):</w:t>
            </w:r>
          </w:p>
          <w:p w14:paraId="57EEE105" w14:textId="325BA3F3" w:rsidR="001540EA" w:rsidRDefault="001540EA" w:rsidP="008C2314">
            <w:pPr>
              <w:rPr>
                <w:b/>
                <w:bCs/>
              </w:rPr>
            </w:pPr>
          </w:p>
          <w:p w14:paraId="79E8020D" w14:textId="6C0DEBA0" w:rsidR="004415DC" w:rsidRDefault="004415DC" w:rsidP="008C2314">
            <w:pPr>
              <w:rPr>
                <w:b/>
                <w:bCs/>
              </w:rPr>
            </w:pPr>
          </w:p>
        </w:tc>
      </w:tr>
      <w:tr w:rsidR="00EB56B9" w14:paraId="4BCA0510" w14:textId="77777777" w:rsidTr="009D39C1">
        <w:trPr>
          <w:trHeight w:val="540"/>
        </w:trPr>
        <w:tc>
          <w:tcPr>
            <w:tcW w:w="9330" w:type="dxa"/>
            <w:shd w:val="clear" w:color="auto" w:fill="E2EFD9" w:themeFill="accent6" w:themeFillTint="33"/>
          </w:tcPr>
          <w:p w14:paraId="30DB49F4" w14:textId="77777777" w:rsidR="00EB56B9" w:rsidRPr="00BA4662" w:rsidRDefault="00EB56B9" w:rsidP="00226DF5">
            <w:r>
              <w:t xml:space="preserve">1. </w:t>
            </w:r>
            <w:r w:rsidRPr="001540EA">
              <w:rPr>
                <w:b/>
                <w:bCs/>
                <w:i/>
                <w:iCs/>
              </w:rPr>
              <w:t>Creating</w:t>
            </w:r>
            <w:r w:rsidRPr="00BA4662">
              <w:t xml:space="preserve"> </w:t>
            </w:r>
            <w:r w:rsidRPr="00D07EC3">
              <w:rPr>
                <w:b/>
                <w:bCs/>
                <w:i/>
                <w:iCs/>
              </w:rPr>
              <w:t>and leading</w:t>
            </w:r>
            <w:r w:rsidRPr="00BA4662">
              <w:t xml:space="preserve"> policy, systems, and environmental changes to improve older adult health and well-being.</w:t>
            </w:r>
            <w:r>
              <w:t xml:space="preserve"> If an individual from your department of health has already been designated an AFPHS Champion, this qualifies has having completed an activity for this tenet.</w:t>
            </w:r>
          </w:p>
          <w:p w14:paraId="671C8292" w14:textId="46B23DC6" w:rsidR="00EB56B9" w:rsidRDefault="00EB56B9" w:rsidP="00EB56B9">
            <w:pPr>
              <w:rPr>
                <w:b/>
                <w:bCs/>
              </w:rPr>
            </w:pPr>
          </w:p>
        </w:tc>
      </w:tr>
      <w:tr w:rsidR="00226DF5" w14:paraId="4AD635E9" w14:textId="77777777" w:rsidTr="00151419">
        <w:trPr>
          <w:trHeight w:val="807"/>
        </w:trPr>
        <w:tc>
          <w:tcPr>
            <w:tcW w:w="9330" w:type="dxa"/>
          </w:tcPr>
          <w:p w14:paraId="3D681F04" w14:textId="77777777" w:rsidR="00226DF5" w:rsidRDefault="00226DF5" w:rsidP="00226DF5">
            <w:pPr>
              <w:rPr>
                <w:b/>
                <w:bCs/>
              </w:rPr>
            </w:pPr>
            <w:r>
              <w:rPr>
                <w:b/>
                <w:bCs/>
              </w:rPr>
              <w:t>Activity(</w:t>
            </w:r>
            <w:proofErr w:type="spellStart"/>
            <w:r>
              <w:rPr>
                <w:b/>
                <w:bCs/>
              </w:rPr>
              <w:t>ies</w:t>
            </w:r>
            <w:proofErr w:type="spellEnd"/>
            <w:r>
              <w:rPr>
                <w:b/>
                <w:bCs/>
              </w:rPr>
              <w:t xml:space="preserve">): </w:t>
            </w:r>
          </w:p>
          <w:p w14:paraId="32D25A12" w14:textId="23EFD7C2" w:rsidR="00226DF5" w:rsidRDefault="00226DF5" w:rsidP="00151419">
            <w:pPr>
              <w:rPr>
                <w:b/>
                <w:bCs/>
              </w:rPr>
            </w:pPr>
          </w:p>
        </w:tc>
      </w:tr>
      <w:tr w:rsidR="00D678D8" w14:paraId="155EFA55" w14:textId="77777777" w:rsidTr="00151419">
        <w:trPr>
          <w:trHeight w:val="870"/>
        </w:trPr>
        <w:tc>
          <w:tcPr>
            <w:tcW w:w="9330" w:type="dxa"/>
          </w:tcPr>
          <w:p w14:paraId="33CF073D" w14:textId="3E867757" w:rsidR="002E4427" w:rsidRPr="00151419" w:rsidRDefault="00D678D8" w:rsidP="00151419">
            <w:pPr>
              <w:rPr>
                <w:b/>
                <w:bCs/>
              </w:rPr>
            </w:pPr>
            <w:r w:rsidRPr="009D39C1">
              <w:rPr>
                <w:b/>
                <w:bCs/>
              </w:rPr>
              <w:t xml:space="preserve">Method of </w:t>
            </w:r>
            <w:r w:rsidR="00EB56B9" w:rsidRPr="009D39C1">
              <w:rPr>
                <w:b/>
                <w:bCs/>
              </w:rPr>
              <w:t>A</w:t>
            </w:r>
            <w:r w:rsidRPr="009D39C1">
              <w:rPr>
                <w:b/>
                <w:bCs/>
              </w:rPr>
              <w:t>ccountability/Documentation:</w:t>
            </w:r>
          </w:p>
          <w:p w14:paraId="5EDEE3FE" w14:textId="418DF34F" w:rsidR="00D678D8" w:rsidRPr="002E4427" w:rsidRDefault="00D678D8" w:rsidP="008C2314">
            <w:r w:rsidRPr="00151419">
              <w:rPr>
                <w:b/>
                <w:bCs/>
              </w:rPr>
              <w:t>Partners/Organizations Involved</w:t>
            </w:r>
            <w:r w:rsidR="00426143" w:rsidRPr="00151419">
              <w:rPr>
                <w:b/>
                <w:bCs/>
              </w:rPr>
              <w:t xml:space="preserve"> (if applicable)</w:t>
            </w:r>
            <w:r>
              <w:t xml:space="preserve">: </w:t>
            </w:r>
          </w:p>
          <w:p w14:paraId="7910D241" w14:textId="2A10BAE6" w:rsidR="00D678D8" w:rsidRDefault="00D678D8" w:rsidP="008C2314">
            <w:pPr>
              <w:rPr>
                <w:b/>
                <w:bCs/>
              </w:rPr>
            </w:pPr>
          </w:p>
        </w:tc>
      </w:tr>
      <w:tr w:rsidR="00EB56B9" w14:paraId="71216859" w14:textId="77777777" w:rsidTr="009D39C1">
        <w:trPr>
          <w:trHeight w:val="540"/>
        </w:trPr>
        <w:tc>
          <w:tcPr>
            <w:tcW w:w="9330" w:type="dxa"/>
            <w:shd w:val="clear" w:color="auto" w:fill="E2EFD9" w:themeFill="accent6" w:themeFillTint="33"/>
          </w:tcPr>
          <w:p w14:paraId="3407C698" w14:textId="0B580C40" w:rsidR="00EB56B9" w:rsidRPr="009F23C9" w:rsidRDefault="00EB56B9" w:rsidP="009D39C1">
            <w:pPr>
              <w:shd w:val="clear" w:color="auto" w:fill="E2EFD9" w:themeFill="accent6" w:themeFillTint="33"/>
            </w:pPr>
            <w:r>
              <w:t xml:space="preserve">2. </w:t>
            </w:r>
            <w:r w:rsidRPr="001540EA">
              <w:rPr>
                <w:b/>
                <w:bCs/>
                <w:i/>
                <w:iCs/>
              </w:rPr>
              <w:t>Connecting and convening</w:t>
            </w:r>
            <w:r w:rsidRPr="001540EA">
              <w:t xml:space="preserve"> multi-sector </w:t>
            </w:r>
            <w:r w:rsidR="00A47DCD">
              <w:t>partners</w:t>
            </w:r>
            <w:r w:rsidRPr="001540EA">
              <w:t xml:space="preserve"> to address the health and social needs of older adults through collective impact approaches</w:t>
            </w:r>
            <w:r w:rsidR="00A47DCD">
              <w:t xml:space="preserve"> that may be</w:t>
            </w:r>
            <w:r w:rsidRPr="001540EA">
              <w:t xml:space="preserve"> focused on the social determinants of health.  </w:t>
            </w:r>
          </w:p>
          <w:p w14:paraId="295A85D8" w14:textId="77777777" w:rsidR="00EB56B9" w:rsidRDefault="00EB56B9" w:rsidP="009D39C1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3257E60E" w14:textId="4D045FFA" w:rsidR="00EB56B9" w:rsidRDefault="00EB56B9" w:rsidP="008C2314">
            <w:pPr>
              <w:rPr>
                <w:b/>
                <w:bCs/>
              </w:rPr>
            </w:pPr>
          </w:p>
        </w:tc>
      </w:tr>
      <w:tr w:rsidR="0017768C" w14:paraId="446A7419" w14:textId="77777777" w:rsidTr="00370AF1">
        <w:trPr>
          <w:trHeight w:val="1610"/>
        </w:trPr>
        <w:tc>
          <w:tcPr>
            <w:tcW w:w="9330" w:type="dxa"/>
          </w:tcPr>
          <w:p w14:paraId="6C64E304" w14:textId="77777777" w:rsidR="0017768C" w:rsidRDefault="0017768C" w:rsidP="0017768C">
            <w:pPr>
              <w:rPr>
                <w:b/>
                <w:bCs/>
              </w:rPr>
            </w:pPr>
            <w:r>
              <w:rPr>
                <w:b/>
                <w:bCs/>
              </w:rPr>
              <w:t>Activity(</w:t>
            </w:r>
            <w:proofErr w:type="spellStart"/>
            <w:r>
              <w:rPr>
                <w:b/>
                <w:bCs/>
              </w:rPr>
              <w:t>ies</w:t>
            </w:r>
            <w:proofErr w:type="spellEnd"/>
            <w:r>
              <w:rPr>
                <w:b/>
                <w:bCs/>
              </w:rPr>
              <w:t xml:space="preserve">): </w:t>
            </w:r>
          </w:p>
          <w:p w14:paraId="7AC721D9" w14:textId="073F7C7E" w:rsidR="0017768C" w:rsidRDefault="0017768C" w:rsidP="0017768C"/>
        </w:tc>
      </w:tr>
      <w:tr w:rsidR="00D678D8" w14:paraId="7D7F6B09" w14:textId="77777777" w:rsidTr="00151419">
        <w:trPr>
          <w:trHeight w:val="1140"/>
        </w:trPr>
        <w:tc>
          <w:tcPr>
            <w:tcW w:w="9330" w:type="dxa"/>
          </w:tcPr>
          <w:p w14:paraId="666998F9" w14:textId="3894F677" w:rsidR="00D678D8" w:rsidRPr="00745EFF" w:rsidRDefault="00D678D8" w:rsidP="00D678D8">
            <w:pPr>
              <w:rPr>
                <w:b/>
                <w:bCs/>
              </w:rPr>
            </w:pPr>
            <w:r w:rsidRPr="00745EFF">
              <w:rPr>
                <w:b/>
                <w:bCs/>
              </w:rPr>
              <w:lastRenderedPageBreak/>
              <w:t xml:space="preserve">Method of </w:t>
            </w:r>
            <w:r w:rsidR="00EB56B9" w:rsidRPr="00745EFF">
              <w:rPr>
                <w:b/>
                <w:bCs/>
              </w:rPr>
              <w:t>A</w:t>
            </w:r>
            <w:r w:rsidRPr="00745EFF">
              <w:rPr>
                <w:b/>
                <w:bCs/>
              </w:rPr>
              <w:t>ccountability/Documentation:</w:t>
            </w:r>
          </w:p>
          <w:p w14:paraId="7B6C1C1C" w14:textId="7F011139" w:rsidR="00D678D8" w:rsidRPr="00151419" w:rsidRDefault="00D678D8" w:rsidP="00151419">
            <w:pPr>
              <w:rPr>
                <w:b/>
                <w:bCs/>
              </w:rPr>
            </w:pPr>
            <w:r w:rsidRPr="00745EFF">
              <w:rPr>
                <w:b/>
                <w:bCs/>
              </w:rPr>
              <w:t>Partners/Organizations Involved:</w:t>
            </w:r>
          </w:p>
        </w:tc>
      </w:tr>
      <w:tr w:rsidR="00EB56B9" w14:paraId="4F487B4A" w14:textId="77777777" w:rsidTr="009D39C1">
        <w:trPr>
          <w:trHeight w:val="537"/>
        </w:trPr>
        <w:tc>
          <w:tcPr>
            <w:tcW w:w="9330" w:type="dxa"/>
            <w:shd w:val="clear" w:color="auto" w:fill="E2EFD9" w:themeFill="accent6" w:themeFillTint="33"/>
          </w:tcPr>
          <w:p w14:paraId="0E7E54F8" w14:textId="70992255" w:rsidR="00EB56B9" w:rsidRDefault="00EB56B9" w:rsidP="008C2314">
            <w:r>
              <w:t xml:space="preserve">3. </w:t>
            </w:r>
            <w:r w:rsidRPr="001540EA">
              <w:rPr>
                <w:b/>
                <w:bCs/>
                <w:i/>
                <w:iCs/>
              </w:rPr>
              <w:t>Coordinating</w:t>
            </w:r>
            <w:r w:rsidRPr="001540EA">
              <w:t xml:space="preserve"> existing supports and services</w:t>
            </w:r>
            <w:r w:rsidR="00A47DCD">
              <w:t xml:space="preserve"> (e.g., through the aging services network, health care systems, etc.)</w:t>
            </w:r>
            <w:r w:rsidRPr="001540EA">
              <w:t xml:space="preserve"> to help older adults, families, and caregivers navigate and access services and </w:t>
            </w:r>
            <w:proofErr w:type="gramStart"/>
            <w:r w:rsidRPr="001540EA">
              <w:t>supports</w:t>
            </w:r>
            <w:proofErr w:type="gramEnd"/>
            <w:r w:rsidRPr="001540EA">
              <w:t>, avoid duplication, and promote an integrated system of care.</w:t>
            </w:r>
          </w:p>
          <w:p w14:paraId="7F327F3E" w14:textId="213A8BCE" w:rsidR="00EB56B9" w:rsidRDefault="00EB56B9" w:rsidP="008C2314">
            <w:pPr>
              <w:rPr>
                <w:b/>
                <w:bCs/>
              </w:rPr>
            </w:pPr>
          </w:p>
        </w:tc>
      </w:tr>
      <w:tr w:rsidR="0017768C" w14:paraId="0417F1F5" w14:textId="77777777" w:rsidTr="00370AF1">
        <w:trPr>
          <w:trHeight w:val="537"/>
        </w:trPr>
        <w:tc>
          <w:tcPr>
            <w:tcW w:w="9330" w:type="dxa"/>
          </w:tcPr>
          <w:p w14:paraId="7565F0E2" w14:textId="77777777" w:rsidR="0017768C" w:rsidRDefault="0017768C" w:rsidP="0017768C">
            <w:pPr>
              <w:rPr>
                <w:b/>
                <w:bCs/>
              </w:rPr>
            </w:pPr>
            <w:r>
              <w:rPr>
                <w:b/>
                <w:bCs/>
              </w:rPr>
              <w:t>Activity(</w:t>
            </w:r>
            <w:proofErr w:type="spellStart"/>
            <w:r>
              <w:rPr>
                <w:b/>
                <w:bCs/>
              </w:rPr>
              <w:t>ies</w:t>
            </w:r>
            <w:proofErr w:type="spellEnd"/>
            <w:r>
              <w:rPr>
                <w:b/>
                <w:bCs/>
              </w:rPr>
              <w:t xml:space="preserve">): </w:t>
            </w:r>
          </w:p>
          <w:p w14:paraId="7DF58643" w14:textId="77777777" w:rsidR="00F6233D" w:rsidRDefault="00F6233D" w:rsidP="00F6233D"/>
          <w:p w14:paraId="42063B26" w14:textId="76BEF33E" w:rsidR="00F6233D" w:rsidRDefault="00F6233D" w:rsidP="00151419"/>
        </w:tc>
      </w:tr>
      <w:tr w:rsidR="00D678D8" w14:paraId="578ABCC2" w14:textId="77777777" w:rsidTr="00370AF1">
        <w:trPr>
          <w:trHeight w:val="537"/>
        </w:trPr>
        <w:tc>
          <w:tcPr>
            <w:tcW w:w="9330" w:type="dxa"/>
          </w:tcPr>
          <w:p w14:paraId="2AB4696E" w14:textId="0DE74F72" w:rsidR="00426143" w:rsidRPr="00745EFF" w:rsidRDefault="00D678D8" w:rsidP="00D678D8">
            <w:pPr>
              <w:rPr>
                <w:b/>
                <w:bCs/>
              </w:rPr>
            </w:pPr>
            <w:r w:rsidRPr="00745EFF">
              <w:rPr>
                <w:b/>
                <w:bCs/>
              </w:rPr>
              <w:t xml:space="preserve">Method of </w:t>
            </w:r>
            <w:r w:rsidR="00EB56B9" w:rsidRPr="00745EFF">
              <w:rPr>
                <w:b/>
                <w:bCs/>
              </w:rPr>
              <w:t>A</w:t>
            </w:r>
            <w:r w:rsidRPr="00745EFF">
              <w:rPr>
                <w:b/>
                <w:bCs/>
              </w:rPr>
              <w:t>ccountability/Documentation:</w:t>
            </w:r>
            <w:r w:rsidR="002E4427" w:rsidRPr="00745EFF">
              <w:rPr>
                <w:b/>
                <w:bCs/>
              </w:rPr>
              <w:t xml:space="preserve"> </w:t>
            </w:r>
          </w:p>
          <w:p w14:paraId="03242ACE" w14:textId="2B96D25F" w:rsidR="00370AF1" w:rsidRPr="00151419" w:rsidRDefault="00D678D8" w:rsidP="00D678D8">
            <w:pPr>
              <w:rPr>
                <w:b/>
                <w:bCs/>
              </w:rPr>
            </w:pPr>
            <w:r w:rsidRPr="00745EFF">
              <w:rPr>
                <w:b/>
                <w:bCs/>
              </w:rPr>
              <w:t>Partners/Organizations Involved:</w:t>
            </w:r>
          </w:p>
          <w:p w14:paraId="07620FD3" w14:textId="77777777" w:rsidR="00370AF1" w:rsidRDefault="00370AF1" w:rsidP="00D678D8"/>
          <w:p w14:paraId="131E31AC" w14:textId="77777777" w:rsidR="00D678D8" w:rsidRDefault="00D678D8" w:rsidP="00D678D8"/>
          <w:p w14:paraId="0DF0521C" w14:textId="77777777" w:rsidR="00D678D8" w:rsidRDefault="00D678D8" w:rsidP="008C2314">
            <w:pPr>
              <w:rPr>
                <w:b/>
                <w:bCs/>
              </w:rPr>
            </w:pPr>
          </w:p>
        </w:tc>
      </w:tr>
      <w:tr w:rsidR="00EB56B9" w14:paraId="6DD2D6E5" w14:textId="77777777" w:rsidTr="009D39C1">
        <w:trPr>
          <w:trHeight w:val="537"/>
        </w:trPr>
        <w:tc>
          <w:tcPr>
            <w:tcW w:w="9330" w:type="dxa"/>
            <w:shd w:val="clear" w:color="auto" w:fill="E2EFD9" w:themeFill="accent6" w:themeFillTint="33"/>
          </w:tcPr>
          <w:p w14:paraId="65653827" w14:textId="77777777" w:rsidR="00EB56B9" w:rsidRDefault="00EB56B9" w:rsidP="008C2314">
            <w:pPr>
              <w:rPr>
                <w:b/>
                <w:bCs/>
              </w:rPr>
            </w:pPr>
            <w:r>
              <w:t>4</w:t>
            </w:r>
            <w:r w:rsidRPr="009D39C1">
              <w:rPr>
                <w:shd w:val="clear" w:color="auto" w:fill="E2EFD9" w:themeFill="accent6" w:themeFillTint="33"/>
              </w:rPr>
              <w:t xml:space="preserve">. </w:t>
            </w:r>
            <w:r w:rsidRPr="009D39C1">
              <w:rPr>
                <w:b/>
                <w:bCs/>
                <w:i/>
                <w:iCs/>
                <w:shd w:val="clear" w:color="auto" w:fill="E2EFD9" w:themeFill="accent6" w:themeFillTint="33"/>
              </w:rPr>
              <w:t>Collecting, analyzing, and translating</w:t>
            </w:r>
            <w:r w:rsidRPr="009D39C1">
              <w:rPr>
                <w:shd w:val="clear" w:color="auto" w:fill="E2EFD9" w:themeFill="accent6" w:themeFillTint="33"/>
              </w:rPr>
              <w:t xml:space="preserve"> relevant and robust data on older adults to identify the needs and assets of a community and inform the development of interventions through community-wide assessment.</w:t>
            </w:r>
            <w:r>
              <w:br/>
            </w:r>
          </w:p>
          <w:p w14:paraId="025ABB5F" w14:textId="60EE7A8E" w:rsidR="00EB56B9" w:rsidRPr="00C25A22" w:rsidRDefault="00EB56B9" w:rsidP="008C2314"/>
        </w:tc>
      </w:tr>
      <w:tr w:rsidR="0017768C" w14:paraId="79E0B14C" w14:textId="77777777" w:rsidTr="00370AF1">
        <w:trPr>
          <w:trHeight w:val="537"/>
        </w:trPr>
        <w:tc>
          <w:tcPr>
            <w:tcW w:w="9330" w:type="dxa"/>
          </w:tcPr>
          <w:p w14:paraId="62D7059C" w14:textId="68D3B516" w:rsidR="0017768C" w:rsidRDefault="0017768C" w:rsidP="0017768C">
            <w:pPr>
              <w:rPr>
                <w:b/>
                <w:bCs/>
              </w:rPr>
            </w:pPr>
            <w:r>
              <w:rPr>
                <w:b/>
                <w:bCs/>
              </w:rPr>
              <w:t>Activity(</w:t>
            </w:r>
            <w:proofErr w:type="spellStart"/>
            <w:r>
              <w:rPr>
                <w:b/>
                <w:bCs/>
              </w:rPr>
              <w:t>ies</w:t>
            </w:r>
            <w:proofErr w:type="spellEnd"/>
            <w:r>
              <w:rPr>
                <w:b/>
                <w:bCs/>
              </w:rPr>
              <w:t xml:space="preserve">): </w:t>
            </w:r>
          </w:p>
          <w:p w14:paraId="02E72E1D" w14:textId="4D223C2C" w:rsidR="0017768C" w:rsidRDefault="004520F0" w:rsidP="00151419">
            <w:r w:rsidRPr="00D42E29">
              <w:t xml:space="preserve"> </w:t>
            </w:r>
          </w:p>
        </w:tc>
      </w:tr>
      <w:tr w:rsidR="00D678D8" w14:paraId="23BF07AB" w14:textId="77777777" w:rsidTr="00151419">
        <w:trPr>
          <w:trHeight w:val="1203"/>
        </w:trPr>
        <w:tc>
          <w:tcPr>
            <w:tcW w:w="9330" w:type="dxa"/>
          </w:tcPr>
          <w:p w14:paraId="13E6B8EB" w14:textId="0B94C8D6" w:rsidR="00D678D8" w:rsidRPr="00745EFF" w:rsidRDefault="00D678D8" w:rsidP="00D678D8">
            <w:pPr>
              <w:rPr>
                <w:b/>
                <w:bCs/>
              </w:rPr>
            </w:pPr>
            <w:r w:rsidRPr="00745EFF">
              <w:rPr>
                <w:b/>
                <w:bCs/>
              </w:rPr>
              <w:t xml:space="preserve">Method of </w:t>
            </w:r>
            <w:r w:rsidR="00EB56B9" w:rsidRPr="00745EFF">
              <w:rPr>
                <w:b/>
                <w:bCs/>
              </w:rPr>
              <w:t>A</w:t>
            </w:r>
            <w:r w:rsidRPr="00745EFF">
              <w:rPr>
                <w:b/>
                <w:bCs/>
              </w:rPr>
              <w:t>ccountability/Documentation:</w:t>
            </w:r>
            <w:r w:rsidR="004520F0" w:rsidRPr="00745EFF">
              <w:rPr>
                <w:b/>
                <w:bCs/>
              </w:rPr>
              <w:t xml:space="preserve"> </w:t>
            </w:r>
          </w:p>
          <w:p w14:paraId="4C4C3CA3" w14:textId="428F3944" w:rsidR="00D678D8" w:rsidRPr="00C25A22" w:rsidRDefault="00D678D8" w:rsidP="008C2314">
            <w:r w:rsidRPr="00745EFF">
              <w:rPr>
                <w:b/>
                <w:bCs/>
              </w:rPr>
              <w:t>Partners/Organizations Involved</w:t>
            </w:r>
            <w:r>
              <w:t>:</w:t>
            </w:r>
            <w:r w:rsidR="00D42E29">
              <w:t xml:space="preserve"> </w:t>
            </w:r>
          </w:p>
        </w:tc>
      </w:tr>
      <w:tr w:rsidR="00EB56B9" w14:paraId="513E808A" w14:textId="77777777" w:rsidTr="009D39C1">
        <w:trPr>
          <w:trHeight w:val="537"/>
        </w:trPr>
        <w:tc>
          <w:tcPr>
            <w:tcW w:w="9330" w:type="dxa"/>
            <w:shd w:val="clear" w:color="auto" w:fill="E2EFD9" w:themeFill="accent6" w:themeFillTint="33"/>
          </w:tcPr>
          <w:p w14:paraId="1A194653" w14:textId="0E667246" w:rsidR="00EB56B9" w:rsidRDefault="00EB56B9" w:rsidP="008C2314">
            <w:r>
              <w:t xml:space="preserve">5. </w:t>
            </w:r>
            <w:r w:rsidRPr="001540EA">
              <w:rPr>
                <w:b/>
                <w:bCs/>
                <w:i/>
                <w:iCs/>
              </w:rPr>
              <w:t>Communicating</w:t>
            </w:r>
            <w:r w:rsidRPr="001540EA">
              <w:t xml:space="preserve"> important public health information</w:t>
            </w:r>
            <w:r w:rsidR="00A47DCD">
              <w:t xml:space="preserve"> (to older adults, and to partners)</w:t>
            </w:r>
            <w:r w:rsidRPr="001540EA">
              <w:t xml:space="preserve"> to promote and support older adult health and well-being, including conducting and disseminating research findings, and emerging and best practices to support healthy aging.</w:t>
            </w:r>
            <w:r>
              <w:br/>
            </w:r>
          </w:p>
          <w:p w14:paraId="3CCE4BCB" w14:textId="5890EF53" w:rsidR="00EB56B9" w:rsidRPr="00C25A22" w:rsidRDefault="00EB56B9" w:rsidP="008C2314"/>
        </w:tc>
      </w:tr>
      <w:tr w:rsidR="0017768C" w14:paraId="7F94F8BC" w14:textId="77777777" w:rsidTr="00CD1C5B">
        <w:trPr>
          <w:trHeight w:val="537"/>
        </w:trPr>
        <w:tc>
          <w:tcPr>
            <w:tcW w:w="9330" w:type="dxa"/>
          </w:tcPr>
          <w:p w14:paraId="708B42AB" w14:textId="77777777" w:rsidR="0017768C" w:rsidRDefault="0017768C" w:rsidP="0017768C">
            <w:pPr>
              <w:rPr>
                <w:b/>
                <w:bCs/>
              </w:rPr>
            </w:pPr>
            <w:r>
              <w:rPr>
                <w:b/>
                <w:bCs/>
              </w:rPr>
              <w:t>Activity(</w:t>
            </w:r>
            <w:proofErr w:type="spellStart"/>
            <w:r>
              <w:rPr>
                <w:b/>
                <w:bCs/>
              </w:rPr>
              <w:t>ies</w:t>
            </w:r>
            <w:proofErr w:type="spellEnd"/>
            <w:r>
              <w:rPr>
                <w:b/>
                <w:bCs/>
              </w:rPr>
              <w:t xml:space="preserve">): </w:t>
            </w:r>
          </w:p>
          <w:p w14:paraId="39D451DE" w14:textId="77777777" w:rsidR="00F470C0" w:rsidRDefault="00F470C0" w:rsidP="00D678D8"/>
          <w:p w14:paraId="366FF19E" w14:textId="298985A5" w:rsidR="0017768C" w:rsidRDefault="0017768C" w:rsidP="00D678D8"/>
        </w:tc>
      </w:tr>
      <w:tr w:rsidR="00EB56B9" w14:paraId="7231EF9B" w14:textId="77777777" w:rsidTr="00151419">
        <w:trPr>
          <w:trHeight w:val="1095"/>
        </w:trPr>
        <w:tc>
          <w:tcPr>
            <w:tcW w:w="9330" w:type="dxa"/>
          </w:tcPr>
          <w:p w14:paraId="6447EF67" w14:textId="0E3EBFFA" w:rsidR="00EB56B9" w:rsidRDefault="00EB56B9" w:rsidP="00D678D8">
            <w:r w:rsidRPr="00745EFF">
              <w:rPr>
                <w:b/>
                <w:bCs/>
              </w:rPr>
              <w:t>Method of Accountability/Documentation</w:t>
            </w:r>
            <w:r>
              <w:t>:</w:t>
            </w:r>
            <w:r w:rsidR="00F470C0">
              <w:t xml:space="preserve"> </w:t>
            </w:r>
          </w:p>
          <w:p w14:paraId="6CB18B17" w14:textId="42416A75" w:rsidR="00EB56B9" w:rsidRPr="00C25A22" w:rsidRDefault="00EB56B9" w:rsidP="008C2314">
            <w:r w:rsidRPr="00745EFF">
              <w:rPr>
                <w:b/>
                <w:bCs/>
              </w:rPr>
              <w:t>Partners/Organizations Involved</w:t>
            </w:r>
            <w:r>
              <w:t>:</w:t>
            </w:r>
            <w:r w:rsidR="00F470C0">
              <w:t xml:space="preserve"> </w:t>
            </w:r>
          </w:p>
        </w:tc>
      </w:tr>
      <w:tr w:rsidR="00EB56B9" w14:paraId="2DCF424C" w14:textId="77777777" w:rsidTr="00DB02E3">
        <w:trPr>
          <w:trHeight w:val="780"/>
        </w:trPr>
        <w:tc>
          <w:tcPr>
            <w:tcW w:w="9330" w:type="dxa"/>
            <w:shd w:val="clear" w:color="auto" w:fill="E2EFD9" w:themeFill="accent6" w:themeFillTint="33"/>
          </w:tcPr>
          <w:p w14:paraId="13297F78" w14:textId="1FDEA8A7" w:rsidR="00EB56B9" w:rsidRDefault="00EB56B9" w:rsidP="008C2314">
            <w:r>
              <w:t xml:space="preserve">6. </w:t>
            </w:r>
            <w:r w:rsidRPr="001540EA">
              <w:rPr>
                <w:b/>
                <w:bCs/>
                <w:i/>
                <w:iCs/>
              </w:rPr>
              <w:t>Complementing</w:t>
            </w:r>
            <w:r w:rsidRPr="001540EA">
              <w:t xml:space="preserve"> existing </w:t>
            </w:r>
            <w:r w:rsidR="00A47DCD">
              <w:t xml:space="preserve">public </w:t>
            </w:r>
            <w:r w:rsidRPr="001540EA">
              <w:t>health programs to ensure they are adequately meeting the needs of older adults.</w:t>
            </w:r>
          </w:p>
          <w:p w14:paraId="75276FF2" w14:textId="77777777" w:rsidR="00D42E29" w:rsidRDefault="00D42E29" w:rsidP="008C2314"/>
          <w:p w14:paraId="69F3173C" w14:textId="3A0BE39A" w:rsidR="00D42E29" w:rsidRPr="00C25A22" w:rsidRDefault="00D42E29" w:rsidP="008C2314"/>
        </w:tc>
      </w:tr>
      <w:tr w:rsidR="0017768C" w14:paraId="1BC92E40" w14:textId="77777777" w:rsidTr="00C73E8D">
        <w:trPr>
          <w:trHeight w:val="1293"/>
        </w:trPr>
        <w:tc>
          <w:tcPr>
            <w:tcW w:w="9330" w:type="dxa"/>
          </w:tcPr>
          <w:p w14:paraId="6DFF2715" w14:textId="77777777" w:rsidR="0017768C" w:rsidRDefault="0017768C" w:rsidP="0017768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Activity(</w:t>
            </w:r>
            <w:proofErr w:type="spellStart"/>
            <w:r>
              <w:rPr>
                <w:b/>
                <w:bCs/>
              </w:rPr>
              <w:t>ies</w:t>
            </w:r>
            <w:proofErr w:type="spellEnd"/>
            <w:r>
              <w:rPr>
                <w:b/>
                <w:bCs/>
              </w:rPr>
              <w:t xml:space="preserve">): </w:t>
            </w:r>
          </w:p>
          <w:p w14:paraId="4563ABF8" w14:textId="18578B47" w:rsidR="006C7CAA" w:rsidRDefault="006C7CAA" w:rsidP="00D678D8"/>
        </w:tc>
      </w:tr>
      <w:tr w:rsidR="00D678D8" w14:paraId="6122C777" w14:textId="77777777" w:rsidTr="00C73E8D">
        <w:trPr>
          <w:trHeight w:val="1050"/>
        </w:trPr>
        <w:tc>
          <w:tcPr>
            <w:tcW w:w="9330" w:type="dxa"/>
          </w:tcPr>
          <w:p w14:paraId="380AE86A" w14:textId="3311F0FB" w:rsidR="00426143" w:rsidRDefault="00D678D8" w:rsidP="00D678D8">
            <w:r w:rsidRPr="00745EFF">
              <w:rPr>
                <w:b/>
                <w:bCs/>
              </w:rPr>
              <w:t xml:space="preserve">Method of </w:t>
            </w:r>
            <w:r w:rsidR="00EB56B9" w:rsidRPr="00745EFF">
              <w:rPr>
                <w:b/>
                <w:bCs/>
              </w:rPr>
              <w:t>A</w:t>
            </w:r>
            <w:r w:rsidRPr="00745EFF">
              <w:rPr>
                <w:b/>
                <w:bCs/>
              </w:rPr>
              <w:t>ccountability/Documentation</w:t>
            </w:r>
            <w:r>
              <w:t>:</w:t>
            </w:r>
            <w:r w:rsidR="00745EFF">
              <w:t xml:space="preserve"> </w:t>
            </w:r>
          </w:p>
          <w:p w14:paraId="2F1559CD" w14:textId="62DDE8C2" w:rsidR="00370AF1" w:rsidRPr="00C25A22" w:rsidRDefault="00D678D8" w:rsidP="008C2314">
            <w:r w:rsidRPr="00745EFF">
              <w:rPr>
                <w:b/>
                <w:bCs/>
              </w:rPr>
              <w:t>Partners/Organizations Involved</w:t>
            </w:r>
            <w:r>
              <w:t>:</w:t>
            </w:r>
            <w:r w:rsidR="00745EFF">
              <w:t xml:space="preserve"> </w:t>
            </w:r>
          </w:p>
        </w:tc>
      </w:tr>
    </w:tbl>
    <w:p w14:paraId="4D65982F" w14:textId="77777777" w:rsidR="00890CFE" w:rsidRDefault="00890CFE" w:rsidP="00890CFE"/>
    <w:sectPr w:rsidR="0089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467"/>
    <w:multiLevelType w:val="hybridMultilevel"/>
    <w:tmpl w:val="63D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F13"/>
    <w:multiLevelType w:val="hybridMultilevel"/>
    <w:tmpl w:val="C36CBC86"/>
    <w:lvl w:ilvl="0" w:tplc="5576F4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AA458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B44"/>
    <w:multiLevelType w:val="hybridMultilevel"/>
    <w:tmpl w:val="8BA4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590A"/>
    <w:multiLevelType w:val="hybridMultilevel"/>
    <w:tmpl w:val="3F6E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1274"/>
    <w:multiLevelType w:val="hybridMultilevel"/>
    <w:tmpl w:val="FB9C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959FC"/>
    <w:multiLevelType w:val="hybridMultilevel"/>
    <w:tmpl w:val="246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C50BD"/>
    <w:multiLevelType w:val="hybridMultilevel"/>
    <w:tmpl w:val="679C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1E2C"/>
    <w:multiLevelType w:val="hybridMultilevel"/>
    <w:tmpl w:val="53AC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65DC3"/>
    <w:multiLevelType w:val="hybridMultilevel"/>
    <w:tmpl w:val="0318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7856"/>
    <w:multiLevelType w:val="hybridMultilevel"/>
    <w:tmpl w:val="79DE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627D1"/>
    <w:multiLevelType w:val="hybridMultilevel"/>
    <w:tmpl w:val="C2F015A8"/>
    <w:lvl w:ilvl="0" w:tplc="24FE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C37CE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260B978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89785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8C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CA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4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E4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63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96C54"/>
    <w:multiLevelType w:val="hybridMultilevel"/>
    <w:tmpl w:val="330A50B4"/>
    <w:lvl w:ilvl="0" w:tplc="5576F48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156730">
    <w:abstractNumId w:val="6"/>
  </w:num>
  <w:num w:numId="2" w16cid:durableId="1131366738">
    <w:abstractNumId w:val="1"/>
  </w:num>
  <w:num w:numId="3" w16cid:durableId="29260641">
    <w:abstractNumId w:val="5"/>
  </w:num>
  <w:num w:numId="4" w16cid:durableId="1302425964">
    <w:abstractNumId w:val="11"/>
  </w:num>
  <w:num w:numId="5" w16cid:durableId="1582832161">
    <w:abstractNumId w:val="8"/>
  </w:num>
  <w:num w:numId="6" w16cid:durableId="1266883968">
    <w:abstractNumId w:val="7"/>
  </w:num>
  <w:num w:numId="7" w16cid:durableId="26177745">
    <w:abstractNumId w:val="9"/>
  </w:num>
  <w:num w:numId="8" w16cid:durableId="1819301102">
    <w:abstractNumId w:val="3"/>
  </w:num>
  <w:num w:numId="9" w16cid:durableId="1901095161">
    <w:abstractNumId w:val="10"/>
  </w:num>
  <w:num w:numId="10" w16cid:durableId="333999670">
    <w:abstractNumId w:val="2"/>
  </w:num>
  <w:num w:numId="11" w16cid:durableId="1749300457">
    <w:abstractNumId w:val="4"/>
  </w:num>
  <w:num w:numId="12" w16cid:durableId="149522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77"/>
    <w:rsid w:val="0001301D"/>
    <w:rsid w:val="000258AA"/>
    <w:rsid w:val="00025967"/>
    <w:rsid w:val="000309D3"/>
    <w:rsid w:val="00042A91"/>
    <w:rsid w:val="00051AB4"/>
    <w:rsid w:val="000575A8"/>
    <w:rsid w:val="000674E8"/>
    <w:rsid w:val="0008021B"/>
    <w:rsid w:val="00086BA0"/>
    <w:rsid w:val="000B115C"/>
    <w:rsid w:val="000C6E82"/>
    <w:rsid w:val="000C758C"/>
    <w:rsid w:val="0011109F"/>
    <w:rsid w:val="00114E3F"/>
    <w:rsid w:val="00120424"/>
    <w:rsid w:val="001234D1"/>
    <w:rsid w:val="0013314A"/>
    <w:rsid w:val="00134BF1"/>
    <w:rsid w:val="00143B22"/>
    <w:rsid w:val="00151419"/>
    <w:rsid w:val="001540EA"/>
    <w:rsid w:val="001572E5"/>
    <w:rsid w:val="001573F9"/>
    <w:rsid w:val="001627C6"/>
    <w:rsid w:val="0017768C"/>
    <w:rsid w:val="00185CAD"/>
    <w:rsid w:val="00186BD8"/>
    <w:rsid w:val="001A1D6A"/>
    <w:rsid w:val="001B5767"/>
    <w:rsid w:val="001D0F93"/>
    <w:rsid w:val="001D319C"/>
    <w:rsid w:val="001D3577"/>
    <w:rsid w:val="001F6632"/>
    <w:rsid w:val="00205650"/>
    <w:rsid w:val="00214B82"/>
    <w:rsid w:val="00226DF5"/>
    <w:rsid w:val="00234557"/>
    <w:rsid w:val="0023794E"/>
    <w:rsid w:val="00245C7E"/>
    <w:rsid w:val="00250358"/>
    <w:rsid w:val="002545FA"/>
    <w:rsid w:val="002A0F1C"/>
    <w:rsid w:val="002A3E12"/>
    <w:rsid w:val="002C049D"/>
    <w:rsid w:val="002C6F34"/>
    <w:rsid w:val="002C74FB"/>
    <w:rsid w:val="002D2A34"/>
    <w:rsid w:val="002E1AA8"/>
    <w:rsid w:val="002E4237"/>
    <w:rsid w:val="002E4427"/>
    <w:rsid w:val="002E47E6"/>
    <w:rsid w:val="002F0337"/>
    <w:rsid w:val="002F4BCD"/>
    <w:rsid w:val="003177EA"/>
    <w:rsid w:val="0032700A"/>
    <w:rsid w:val="00370AF1"/>
    <w:rsid w:val="00377214"/>
    <w:rsid w:val="00390273"/>
    <w:rsid w:val="003B60A0"/>
    <w:rsid w:val="003B6817"/>
    <w:rsid w:val="003C42A7"/>
    <w:rsid w:val="003D1A4A"/>
    <w:rsid w:val="003E10E2"/>
    <w:rsid w:val="003F2273"/>
    <w:rsid w:val="003F5FC0"/>
    <w:rsid w:val="00402800"/>
    <w:rsid w:val="00407025"/>
    <w:rsid w:val="00417D5A"/>
    <w:rsid w:val="0042482A"/>
    <w:rsid w:val="00426143"/>
    <w:rsid w:val="004331F9"/>
    <w:rsid w:val="004363D5"/>
    <w:rsid w:val="004415DC"/>
    <w:rsid w:val="004520F0"/>
    <w:rsid w:val="00466A58"/>
    <w:rsid w:val="00466CD9"/>
    <w:rsid w:val="00470695"/>
    <w:rsid w:val="004824F6"/>
    <w:rsid w:val="004933A0"/>
    <w:rsid w:val="004D1BE1"/>
    <w:rsid w:val="004D439A"/>
    <w:rsid w:val="004D50E2"/>
    <w:rsid w:val="004F1380"/>
    <w:rsid w:val="004F42A7"/>
    <w:rsid w:val="0051566D"/>
    <w:rsid w:val="0052471A"/>
    <w:rsid w:val="00526452"/>
    <w:rsid w:val="00532B37"/>
    <w:rsid w:val="00571082"/>
    <w:rsid w:val="005D01EC"/>
    <w:rsid w:val="005D0DB0"/>
    <w:rsid w:val="005D775F"/>
    <w:rsid w:val="005D79A6"/>
    <w:rsid w:val="00650D49"/>
    <w:rsid w:val="00663F80"/>
    <w:rsid w:val="006664E6"/>
    <w:rsid w:val="006813DF"/>
    <w:rsid w:val="00681AB9"/>
    <w:rsid w:val="00683AEB"/>
    <w:rsid w:val="00684080"/>
    <w:rsid w:val="006A0070"/>
    <w:rsid w:val="006A5B66"/>
    <w:rsid w:val="006A7469"/>
    <w:rsid w:val="006B0DA9"/>
    <w:rsid w:val="006B2536"/>
    <w:rsid w:val="006C7CAA"/>
    <w:rsid w:val="006E534C"/>
    <w:rsid w:val="00702221"/>
    <w:rsid w:val="007225C2"/>
    <w:rsid w:val="00723383"/>
    <w:rsid w:val="00725FB4"/>
    <w:rsid w:val="00727303"/>
    <w:rsid w:val="00732992"/>
    <w:rsid w:val="00745EFF"/>
    <w:rsid w:val="00763377"/>
    <w:rsid w:val="0076358A"/>
    <w:rsid w:val="00765335"/>
    <w:rsid w:val="007749D3"/>
    <w:rsid w:val="00776F67"/>
    <w:rsid w:val="00776F9A"/>
    <w:rsid w:val="00792947"/>
    <w:rsid w:val="007A029A"/>
    <w:rsid w:val="007C0B86"/>
    <w:rsid w:val="007F469D"/>
    <w:rsid w:val="008037F1"/>
    <w:rsid w:val="00805639"/>
    <w:rsid w:val="00812086"/>
    <w:rsid w:val="008264AF"/>
    <w:rsid w:val="0082736D"/>
    <w:rsid w:val="008845FE"/>
    <w:rsid w:val="00884712"/>
    <w:rsid w:val="00890CFE"/>
    <w:rsid w:val="008A145D"/>
    <w:rsid w:val="008C2314"/>
    <w:rsid w:val="008E51ED"/>
    <w:rsid w:val="008F33AD"/>
    <w:rsid w:val="00906D1D"/>
    <w:rsid w:val="009124F6"/>
    <w:rsid w:val="00927BF8"/>
    <w:rsid w:val="00927CD7"/>
    <w:rsid w:val="00950004"/>
    <w:rsid w:val="00953C38"/>
    <w:rsid w:val="00954151"/>
    <w:rsid w:val="00957922"/>
    <w:rsid w:val="00962C95"/>
    <w:rsid w:val="00987ADA"/>
    <w:rsid w:val="00990673"/>
    <w:rsid w:val="00990CBC"/>
    <w:rsid w:val="009A407D"/>
    <w:rsid w:val="009A5F72"/>
    <w:rsid w:val="009B16CC"/>
    <w:rsid w:val="009D39C1"/>
    <w:rsid w:val="009E532A"/>
    <w:rsid w:val="009F23C9"/>
    <w:rsid w:val="009F4CA5"/>
    <w:rsid w:val="00A20643"/>
    <w:rsid w:val="00A23025"/>
    <w:rsid w:val="00A25300"/>
    <w:rsid w:val="00A356DF"/>
    <w:rsid w:val="00A47DCD"/>
    <w:rsid w:val="00A52313"/>
    <w:rsid w:val="00A5279B"/>
    <w:rsid w:val="00A82270"/>
    <w:rsid w:val="00A923A6"/>
    <w:rsid w:val="00A9299E"/>
    <w:rsid w:val="00AA473E"/>
    <w:rsid w:val="00B00345"/>
    <w:rsid w:val="00B21274"/>
    <w:rsid w:val="00B306C5"/>
    <w:rsid w:val="00B41AB4"/>
    <w:rsid w:val="00B43636"/>
    <w:rsid w:val="00B66BDF"/>
    <w:rsid w:val="00B674C9"/>
    <w:rsid w:val="00B769E3"/>
    <w:rsid w:val="00B76B1B"/>
    <w:rsid w:val="00B85B7B"/>
    <w:rsid w:val="00B863E9"/>
    <w:rsid w:val="00BB21F2"/>
    <w:rsid w:val="00BB62E5"/>
    <w:rsid w:val="00BB697C"/>
    <w:rsid w:val="00BC5EE1"/>
    <w:rsid w:val="00BC737A"/>
    <w:rsid w:val="00C17BEF"/>
    <w:rsid w:val="00C25A22"/>
    <w:rsid w:val="00C415FB"/>
    <w:rsid w:val="00C43048"/>
    <w:rsid w:val="00C50B87"/>
    <w:rsid w:val="00C521CF"/>
    <w:rsid w:val="00C73E8D"/>
    <w:rsid w:val="00C96A57"/>
    <w:rsid w:val="00C97C7C"/>
    <w:rsid w:val="00CC6377"/>
    <w:rsid w:val="00CD1FC2"/>
    <w:rsid w:val="00CD2C9C"/>
    <w:rsid w:val="00CF5479"/>
    <w:rsid w:val="00CF64F1"/>
    <w:rsid w:val="00D03FBB"/>
    <w:rsid w:val="00D047D0"/>
    <w:rsid w:val="00D07EC3"/>
    <w:rsid w:val="00D1087D"/>
    <w:rsid w:val="00D121B4"/>
    <w:rsid w:val="00D15CB5"/>
    <w:rsid w:val="00D27387"/>
    <w:rsid w:val="00D30878"/>
    <w:rsid w:val="00D36845"/>
    <w:rsid w:val="00D36EA6"/>
    <w:rsid w:val="00D400F8"/>
    <w:rsid w:val="00D42E29"/>
    <w:rsid w:val="00D52AC0"/>
    <w:rsid w:val="00D53D7F"/>
    <w:rsid w:val="00D678D8"/>
    <w:rsid w:val="00D81056"/>
    <w:rsid w:val="00D96583"/>
    <w:rsid w:val="00D970F7"/>
    <w:rsid w:val="00DB02E3"/>
    <w:rsid w:val="00DD438A"/>
    <w:rsid w:val="00DD5ED5"/>
    <w:rsid w:val="00DE04A9"/>
    <w:rsid w:val="00E26D6F"/>
    <w:rsid w:val="00E50D4B"/>
    <w:rsid w:val="00E545DF"/>
    <w:rsid w:val="00E621FD"/>
    <w:rsid w:val="00E64D9C"/>
    <w:rsid w:val="00E80AE3"/>
    <w:rsid w:val="00E905CB"/>
    <w:rsid w:val="00EB56B9"/>
    <w:rsid w:val="00EE4A12"/>
    <w:rsid w:val="00F02C57"/>
    <w:rsid w:val="00F04BE4"/>
    <w:rsid w:val="00F335DF"/>
    <w:rsid w:val="00F40258"/>
    <w:rsid w:val="00F470C0"/>
    <w:rsid w:val="00F6148B"/>
    <w:rsid w:val="00F6233D"/>
    <w:rsid w:val="00F6495B"/>
    <w:rsid w:val="00F83A7A"/>
    <w:rsid w:val="00F878F2"/>
    <w:rsid w:val="00F93513"/>
    <w:rsid w:val="00F9567E"/>
    <w:rsid w:val="00FB76A9"/>
    <w:rsid w:val="00FD534E"/>
    <w:rsid w:val="00FE733D"/>
    <w:rsid w:val="00FF3759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3501"/>
  <w15:chartTrackingRefBased/>
  <w15:docId w15:val="{67357D2A-CF43-4CE7-8547-03843F6E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AF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4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4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BC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CD"/>
    <w:rPr>
      <w:rFonts w:ascii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0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2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fphs.org/wp-content/uploads/2022/03/6Cs-Examples-Description-Fina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phs@tfah.org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1.png@01D83946.8C2F658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1F505B6CD164E803D95E1DBCB1694" ma:contentTypeVersion="12" ma:contentTypeDescription="Create a new document." ma:contentTypeScope="" ma:versionID="6b7bef0624ab8bb1d39528e6d0a5a138">
  <xsd:schema xmlns:xsd="http://www.w3.org/2001/XMLSchema" xmlns:xs="http://www.w3.org/2001/XMLSchema" xmlns:p="http://schemas.microsoft.com/office/2006/metadata/properties" xmlns:ns2="53a1d84b-327f-44e7-86c3-4c559696b072" xmlns:ns3="28d4f879-772b-4f24-b935-a5515e560dd3" targetNamespace="http://schemas.microsoft.com/office/2006/metadata/properties" ma:root="true" ma:fieldsID="4b40182cc1b47d2b47d6ad381b82b80f" ns2:_="" ns3:_="">
    <xsd:import namespace="53a1d84b-327f-44e7-86c3-4c559696b072"/>
    <xsd:import namespace="28d4f879-772b-4f24-b935-a5515e560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1d84b-327f-44e7-86c3-4c559696b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4f879-772b-4f24-b935-a5515e560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a201dd-47de-4cb5-b1b8-fb4eacb25aeb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951B8-447C-4B9C-9A1C-DB7B82915B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77B48-5CFF-44DB-8497-70A60E29C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1d84b-327f-44e7-86c3-4c559696b072"/>
    <ds:schemaRef ds:uri="28d4f879-772b-4f24-b935-a5515e560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91DFE-F418-401A-BB4C-5A53B40B60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1A94D9-3730-439E-B6DB-FA8A66577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Links>
    <vt:vector size="18" baseType="variant">
      <vt:variant>
        <vt:i4>4587546</vt:i4>
      </vt:variant>
      <vt:variant>
        <vt:i4>6</vt:i4>
      </vt:variant>
      <vt:variant>
        <vt:i4>0</vt:i4>
      </vt:variant>
      <vt:variant>
        <vt:i4>5</vt:i4>
      </vt:variant>
      <vt:variant>
        <vt:lpwstr>https://mahealthyagingcollaborative.org/data-report/explore-the-profiles/</vt:lpwstr>
      </vt:variant>
      <vt:variant>
        <vt:lpwstr/>
      </vt:variant>
      <vt:variant>
        <vt:i4>6291566</vt:i4>
      </vt:variant>
      <vt:variant>
        <vt:i4>3</vt:i4>
      </vt:variant>
      <vt:variant>
        <vt:i4>0</vt:i4>
      </vt:variant>
      <vt:variant>
        <vt:i4>5</vt:i4>
      </vt:variant>
      <vt:variant>
        <vt:lpwstr>https://flhealthcharts.com/ChartsReports/rdPage.aspx?rdReport=AgingInFlorida.Dashboard</vt:lpwstr>
      </vt:variant>
      <vt:variant>
        <vt:lpwstr/>
      </vt:variant>
      <vt:variant>
        <vt:i4>6553644</vt:i4>
      </vt:variant>
      <vt:variant>
        <vt:i4>0</vt:i4>
      </vt:variant>
      <vt:variant>
        <vt:i4>0</vt:i4>
      </vt:variant>
      <vt:variant>
        <vt:i4>5</vt:i4>
      </vt:variant>
      <vt:variant>
        <vt:lpwstr>https://hbcuconnect.com/hbcu/state/georgia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Talyah Sands</dc:creator>
  <cp:keywords/>
  <dc:description/>
  <cp:lastModifiedBy>Megan Wolfe</cp:lastModifiedBy>
  <cp:revision>2</cp:revision>
  <dcterms:created xsi:type="dcterms:W3CDTF">2025-05-08T17:46:00Z</dcterms:created>
  <dcterms:modified xsi:type="dcterms:W3CDTF">2025-05-08T17:46:00Z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0x01010060D1F505B6CD164E803D95E1DBCB1694</vt:lpwstr>
  </property>
</Properties>
</file>