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72" w:rsidRDefault="00120772" w:rsidP="00120772">
      <w:pPr>
        <w:spacing w:line="276" w:lineRule="auto"/>
        <w:jc w:val="both"/>
        <w:rPr>
          <w:rFonts w:asciiTheme="majorHAnsi" w:hAnsiTheme="majorHAnsi" w:cstheme="majorHAnsi"/>
          <w:b/>
          <w:color w:val="0070C0"/>
          <w:sz w:val="32"/>
        </w:rPr>
      </w:pPr>
      <w:r w:rsidRPr="00784964">
        <w:rPr>
          <w:rFonts w:asciiTheme="majorHAnsi" w:hAnsiTheme="majorHAnsi" w:cstheme="majorHAnsi"/>
          <w:b/>
          <w:color w:val="0070C0"/>
          <w:sz w:val="32"/>
        </w:rPr>
        <w:t>Supporting Information</w:t>
      </w:r>
    </w:p>
    <w:p w:rsidR="00120772" w:rsidRDefault="00120772" w:rsidP="00120772">
      <w:pPr>
        <w:spacing w:line="276" w:lineRule="auto"/>
        <w:jc w:val="both"/>
        <w:rPr>
          <w:rFonts w:asciiTheme="majorHAnsi" w:hAnsiTheme="majorHAnsi" w:cstheme="majorHAnsi"/>
          <w:b/>
          <w:color w:val="0070C0"/>
          <w:sz w:val="32"/>
        </w:rPr>
      </w:pPr>
    </w:p>
    <w:p w:rsidR="00120772" w:rsidRPr="00784964" w:rsidRDefault="00120772" w:rsidP="00120772">
      <w:pPr>
        <w:spacing w:before="120" w:after="120" w:line="276" w:lineRule="auto"/>
        <w:jc w:val="both"/>
        <w:rPr>
          <w:rFonts w:asciiTheme="majorHAnsi" w:hAnsiTheme="majorHAnsi" w:cs="Times New Roman"/>
          <w:color w:val="5B9BD5" w:themeColor="accent1"/>
        </w:rPr>
      </w:pPr>
      <w:r w:rsidRPr="00784964">
        <w:rPr>
          <w:rFonts w:asciiTheme="majorHAnsi" w:hAnsiTheme="majorHAnsi" w:cs="Times New Roman"/>
          <w:b/>
          <w:color w:val="5B9BD5" w:themeColor="accent1"/>
          <w:sz w:val="28"/>
        </w:rPr>
        <w:t xml:space="preserve">S1 </w:t>
      </w:r>
      <w:bookmarkStart w:id="0" w:name="_GoBack"/>
      <w:r w:rsidRPr="00784964">
        <w:rPr>
          <w:rFonts w:asciiTheme="majorHAnsi" w:hAnsiTheme="majorHAnsi" w:cs="Times New Roman"/>
          <w:b/>
          <w:color w:val="5B9BD5" w:themeColor="accent1"/>
          <w:sz w:val="28"/>
        </w:rPr>
        <w:t xml:space="preserve">Methods </w:t>
      </w:r>
      <w:r w:rsidR="00F66068">
        <w:rPr>
          <w:rFonts w:asciiTheme="majorHAnsi" w:hAnsiTheme="majorHAnsi" w:cs="Times New Roman"/>
          <w:b/>
          <w:color w:val="5B9BD5" w:themeColor="accent1"/>
          <w:sz w:val="28"/>
        </w:rPr>
        <w:t xml:space="preserve">original </w:t>
      </w:r>
      <w:r w:rsidRPr="00784964">
        <w:rPr>
          <w:rFonts w:asciiTheme="majorHAnsi" w:hAnsiTheme="majorHAnsi" w:cs="Times New Roman"/>
          <w:b/>
          <w:color w:val="5B9BD5" w:themeColor="accent1"/>
          <w:sz w:val="28"/>
        </w:rPr>
        <w:t>experiment</w:t>
      </w:r>
      <w:r w:rsidRPr="001F0284">
        <w:rPr>
          <w:rFonts w:asciiTheme="majorHAnsi" w:hAnsiTheme="majorHAnsi" w:cs="Times New Roman"/>
          <w:color w:val="5B9BD5" w:themeColor="accent1"/>
          <w:sz w:val="28"/>
        </w:rPr>
        <w:t xml:space="preserve"> </w:t>
      </w:r>
      <w:bookmarkEnd w:id="0"/>
    </w:p>
    <w:p w:rsidR="00120772" w:rsidRDefault="00120772" w:rsidP="00120772">
      <w:pPr>
        <w:spacing w:before="120" w:after="120" w:line="276" w:lineRule="auto"/>
        <w:jc w:val="both"/>
        <w:rPr>
          <w:rFonts w:asciiTheme="majorHAnsi" w:hAnsiTheme="majorHAnsi" w:cs="Times New Roman"/>
          <w:i/>
        </w:rPr>
      </w:pPr>
    </w:p>
    <w:p w:rsidR="00120772" w:rsidRDefault="00120772" w:rsidP="00120772">
      <w:pPr>
        <w:spacing w:before="120" w:after="120" w:line="276" w:lineRule="auto"/>
        <w:jc w:val="both"/>
        <w:rPr>
          <w:rFonts w:asciiTheme="majorHAnsi" w:eastAsia="Times New Roman" w:hAnsiTheme="majorHAnsi" w:cs="Times New Roman"/>
          <w:iCs/>
          <w:color w:val="000000"/>
        </w:rPr>
      </w:pPr>
      <w:r>
        <w:rPr>
          <w:rFonts w:asciiTheme="majorHAnsi" w:eastAsia="Times New Roman" w:hAnsiTheme="majorHAnsi" w:cs="Times New Roman"/>
          <w:iCs/>
          <w:color w:val="000000"/>
        </w:rPr>
        <w:t>Twenty m</w:t>
      </w:r>
      <w:r w:rsidRPr="00EB34DD">
        <w:rPr>
          <w:rFonts w:asciiTheme="majorHAnsi" w:eastAsia="Times New Roman" w:hAnsiTheme="majorHAnsi" w:cs="Times New Roman"/>
          <w:iCs/>
          <w:color w:val="000000"/>
        </w:rPr>
        <w:t xml:space="preserve">ale C57Bl/6 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N </w:t>
      </w:r>
      <w:r w:rsidRPr="00EB34DD">
        <w:rPr>
          <w:rFonts w:asciiTheme="majorHAnsi" w:eastAsia="Times New Roman" w:hAnsiTheme="majorHAnsi" w:cs="Times New Roman"/>
          <w:iCs/>
          <w:color w:val="000000"/>
        </w:rPr>
        <w:t>mice (</w:t>
      </w:r>
      <w:r>
        <w:rPr>
          <w:rFonts w:asciiTheme="majorHAnsi" w:eastAsia="Times New Roman" w:hAnsiTheme="majorHAnsi" w:cs="Times New Roman"/>
          <w:iCs/>
          <w:color w:val="000000"/>
        </w:rPr>
        <w:t>drug na</w:t>
      </w:r>
      <w:r w:rsidRPr="005D448B">
        <w:rPr>
          <w:rFonts w:asciiTheme="majorHAnsi" w:eastAsia="Times New Roman" w:hAnsiTheme="majorHAnsi" w:cs="Times New Roman"/>
          <w:iCs/>
          <w:color w:val="000000"/>
        </w:rPr>
        <w:t>ï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ve prior treatment, </w:t>
      </w:r>
      <w:r w:rsidRPr="00EB34DD">
        <w:rPr>
          <w:rFonts w:asciiTheme="majorHAnsi" w:eastAsia="Times New Roman" w:hAnsiTheme="majorHAnsi" w:cs="Times New Roman"/>
          <w:iCs/>
          <w:color w:val="000000"/>
        </w:rPr>
        <w:t xml:space="preserve">mean body weight: 24.3; SD: 0.8 g, Charles River Laboratories, </w:t>
      </w:r>
      <w:proofErr w:type="spellStart"/>
      <w:r w:rsidRPr="00EB34DD">
        <w:rPr>
          <w:rFonts w:asciiTheme="majorHAnsi" w:eastAsia="Times New Roman" w:hAnsiTheme="majorHAnsi" w:cs="Times New Roman"/>
          <w:iCs/>
          <w:color w:val="000000"/>
        </w:rPr>
        <w:t>Sulzfeld</w:t>
      </w:r>
      <w:proofErr w:type="spellEnd"/>
      <w:r w:rsidRPr="00EB34DD">
        <w:rPr>
          <w:rFonts w:asciiTheme="majorHAnsi" w:eastAsia="Times New Roman" w:hAnsiTheme="majorHAnsi" w:cs="Times New Roman"/>
          <w:iCs/>
          <w:color w:val="000000"/>
        </w:rPr>
        <w:t xml:space="preserve">, Germany) </w:t>
      </w:r>
      <w:r>
        <w:rPr>
          <w:rFonts w:asciiTheme="majorHAnsi" w:eastAsia="Times New Roman" w:hAnsiTheme="majorHAnsi" w:cs="Times New Roman"/>
          <w:iCs/>
          <w:color w:val="000000"/>
        </w:rPr>
        <w:t>were kept group housed (n=5 in a type 3 cage) under a 12 hours light-on/light-off regimen at 22</w:t>
      </w:r>
      <w:r w:rsidRPr="00EC7440">
        <w:rPr>
          <w:rFonts w:asciiTheme="majorHAnsi" w:eastAsia="Times New Roman" w:hAnsiTheme="majorHAnsi" w:cs="Times New Roman"/>
          <w:iCs/>
          <w:color w:val="000000"/>
        </w:rPr>
        <w:t>±</w:t>
      </w:r>
      <w:r>
        <w:rPr>
          <w:rFonts w:asciiTheme="majorHAnsi" w:eastAsia="Times New Roman" w:hAnsiTheme="majorHAnsi" w:cs="Times New Roman"/>
          <w:iCs/>
          <w:color w:val="000000"/>
        </w:rPr>
        <w:t>2°C with tap water and food (</w:t>
      </w:r>
      <w:proofErr w:type="spellStart"/>
      <w:r>
        <w:rPr>
          <w:rFonts w:asciiTheme="majorHAnsi" w:eastAsia="Times New Roman" w:hAnsiTheme="majorHAnsi" w:cs="Times New Roman"/>
          <w:iCs/>
          <w:color w:val="000000"/>
        </w:rPr>
        <w:t>Ssniff</w:t>
      </w:r>
      <w:proofErr w:type="spellEnd"/>
      <w:r>
        <w:rPr>
          <w:rFonts w:asciiTheme="majorHAnsi" w:eastAsia="Times New Roman" w:hAnsiTheme="majorHAnsi" w:cs="Times New Roman"/>
          <w:iCs/>
          <w:color w:val="000000"/>
        </w:rPr>
        <w:t xml:space="preserve">, mouse standard diet) freely available. They </w:t>
      </w:r>
      <w:r w:rsidRPr="00EB34DD">
        <w:rPr>
          <w:rFonts w:asciiTheme="majorHAnsi" w:eastAsia="Times New Roman" w:hAnsiTheme="majorHAnsi" w:cs="Times New Roman"/>
          <w:iCs/>
          <w:color w:val="000000"/>
        </w:rPr>
        <w:t>underwent transient intraluminal MCAO for 45 minutes under inhalational anesthesia (1.5% isoflurane in 70% N</w:t>
      </w:r>
      <w:r w:rsidRPr="00D84894">
        <w:rPr>
          <w:rFonts w:asciiTheme="majorHAnsi" w:eastAsia="Times New Roman" w:hAnsiTheme="majorHAnsi" w:cs="Times New Roman"/>
          <w:iCs/>
          <w:color w:val="000000"/>
          <w:vertAlign w:val="subscript"/>
        </w:rPr>
        <w:t>2</w:t>
      </w:r>
      <w:r w:rsidRPr="00EB34DD">
        <w:rPr>
          <w:rFonts w:asciiTheme="majorHAnsi" w:eastAsia="Times New Roman" w:hAnsiTheme="majorHAnsi" w:cs="Times New Roman"/>
          <w:iCs/>
          <w:color w:val="000000"/>
        </w:rPr>
        <w:t>O and 30% O</w:t>
      </w:r>
      <w:r w:rsidRPr="00D84894">
        <w:rPr>
          <w:rFonts w:asciiTheme="majorHAnsi" w:eastAsia="Times New Roman" w:hAnsiTheme="majorHAnsi" w:cs="Times New Roman"/>
          <w:iCs/>
          <w:color w:val="000000"/>
          <w:vertAlign w:val="subscript"/>
        </w:rPr>
        <w:t>2</w:t>
      </w:r>
      <w:r w:rsidRPr="00EB34DD">
        <w:rPr>
          <w:rFonts w:asciiTheme="majorHAnsi" w:eastAsia="Times New Roman" w:hAnsiTheme="majorHAnsi" w:cs="Times New Roman"/>
          <w:iCs/>
          <w:color w:val="000000"/>
        </w:rPr>
        <w:t>) as previously described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 in our standard operating procedure for </w:t>
      </w:r>
      <w:hyperlink r:id="rId4" w:history="1">
        <w:r w:rsidRPr="001912D3">
          <w:rPr>
            <w:rFonts w:asciiTheme="majorHAnsi" w:eastAsia="Times New Roman" w:hAnsiTheme="majorHAnsi" w:cs="Times New Roman"/>
            <w:iCs/>
            <w:color w:val="000000"/>
          </w:rPr>
          <w:t>middle cerebral artery occlusion in the mouse</w:t>
        </w:r>
      </w:hyperlink>
      <w:r>
        <w:t xml:space="preserve"> </w:t>
      </w:r>
      <w:r>
        <w:rPr>
          <w:rFonts w:asciiTheme="majorHAnsi" w:eastAsia="Times New Roman" w:hAnsiTheme="majorHAnsi" w:cs="Times New Roman"/>
          <w:iCs/>
          <w:color w:val="000000"/>
        </w:rPr>
        <w:fldChar w:fldCharType="begin"/>
      </w:r>
      <w:r>
        <w:rPr>
          <w:rFonts w:asciiTheme="majorHAnsi" w:eastAsia="Times New Roman" w:hAnsiTheme="majorHAnsi" w:cs="Times New Roman"/>
          <w:iCs/>
          <w:color w:val="000000"/>
        </w:rPr>
        <w:instrText xml:space="preserve"> ADDIN EN.CITE &lt;EndNote&gt;&lt;Cite&gt;&lt;Author&gt;Dirnagl&lt;/Author&gt;&lt;Year&gt;2009&lt;/Year&gt;&lt;RecNum&gt;59&lt;/RecNum&gt;&lt;DisplayText&gt;(Dirnagl and Group 2009)&lt;/DisplayText&gt;&lt;record&gt;&lt;rec-number&gt;59&lt;/rec-number&gt;&lt;foreign-keys&gt;&lt;key app="EN" db-id="p52sptfdoff9vhefzxix9dtjrsx90t0dt0z0" timestamp="1523528502"&gt;59&lt;/key&gt;&lt;/foreign-keys&gt;&lt;ref-type name="Journal Article"&gt;17&lt;/ref-type&gt;&lt;contributors&gt;&lt;authors&gt;&lt;author&gt;Dirnagl, Ulrich&lt;/author&gt;&lt;author&gt;MCAO-SOP Group&lt;/author&gt;&lt;/authors&gt;&lt;/contributors&gt;&lt;titles&gt;&lt;title&gt;Standard operating procedures (SOP) in experimental stroke research: SOP for middle cerebral artery occlusion in the mouse&lt;/title&gt;&lt;secondary-title&gt;Nature Precedings&lt;/secondary-title&gt;&lt;/titles&gt;&lt;periodical&gt;&lt;full-title&gt;Nature Precedings&lt;/full-title&gt;&lt;/periodical&gt;&lt;dates&gt;&lt;year&gt;2009&lt;/year&gt;&lt;/dates&gt;&lt;urls&gt;&lt;/urls&gt;&lt;/record&gt;&lt;/Cite&gt;&lt;/EndNote&gt;</w:instrText>
      </w:r>
      <w:r>
        <w:rPr>
          <w:rFonts w:asciiTheme="majorHAnsi" w:eastAsia="Times New Roman" w:hAnsiTheme="majorHAnsi" w:cs="Times New Roman"/>
          <w:iCs/>
          <w:color w:val="000000"/>
        </w:rPr>
        <w:fldChar w:fldCharType="separate"/>
      </w:r>
      <w:r>
        <w:rPr>
          <w:rFonts w:asciiTheme="majorHAnsi" w:eastAsia="Times New Roman" w:hAnsiTheme="majorHAnsi" w:cs="Times New Roman"/>
          <w:iCs/>
          <w:noProof/>
          <w:color w:val="000000"/>
        </w:rPr>
        <w:t>(Dirnagl and Group 2009)</w:t>
      </w:r>
      <w:r>
        <w:rPr>
          <w:rFonts w:asciiTheme="majorHAnsi" w:eastAsia="Times New Roman" w:hAnsiTheme="majorHAnsi" w:cs="Times New Roman"/>
          <w:iCs/>
          <w:color w:val="000000"/>
        </w:rPr>
        <w:fldChar w:fldCharType="end"/>
      </w:r>
      <w:r>
        <w:rPr>
          <w:rFonts w:asciiTheme="majorHAnsi" w:eastAsia="Times New Roman" w:hAnsiTheme="majorHAnsi" w:cs="Times New Roman"/>
          <w:iCs/>
          <w:color w:val="000000"/>
        </w:rPr>
        <w:t xml:space="preserve">. </w:t>
      </w:r>
    </w:p>
    <w:p w:rsidR="00120772" w:rsidRDefault="00120772" w:rsidP="00120772">
      <w:pPr>
        <w:spacing w:before="120" w:after="120" w:line="276" w:lineRule="auto"/>
        <w:jc w:val="both"/>
        <w:rPr>
          <w:rFonts w:asciiTheme="majorHAnsi" w:eastAsia="Times New Roman" w:hAnsiTheme="majorHAnsi" w:cs="Times New Roman"/>
          <w:iCs/>
          <w:color w:val="000000"/>
        </w:rPr>
      </w:pPr>
      <w:r w:rsidRPr="00EB34DD">
        <w:rPr>
          <w:rFonts w:asciiTheme="majorHAnsi" w:eastAsia="Times New Roman" w:hAnsiTheme="majorHAnsi" w:cs="Times New Roman"/>
          <w:iCs/>
          <w:color w:val="000000"/>
        </w:rPr>
        <w:t xml:space="preserve">VPA (30 mg/kg, </w:t>
      </w:r>
      <w:proofErr w:type="spellStart"/>
      <w:r w:rsidRPr="00EB34DD">
        <w:rPr>
          <w:rFonts w:asciiTheme="majorHAnsi" w:eastAsia="Times New Roman" w:hAnsiTheme="majorHAnsi" w:cs="Times New Roman"/>
          <w:iCs/>
          <w:color w:val="000000"/>
        </w:rPr>
        <w:t>i.p</w:t>
      </w:r>
      <w:proofErr w:type="spellEnd"/>
      <w:r w:rsidRPr="00EB34DD">
        <w:rPr>
          <w:rFonts w:asciiTheme="majorHAnsi" w:eastAsia="Times New Roman" w:hAnsiTheme="majorHAnsi" w:cs="Times New Roman"/>
          <w:iCs/>
          <w:color w:val="000000"/>
        </w:rPr>
        <w:t xml:space="preserve">., </w:t>
      </w:r>
      <w:proofErr w:type="spellStart"/>
      <w:r w:rsidRPr="00EB34DD">
        <w:rPr>
          <w:rFonts w:asciiTheme="majorHAnsi" w:eastAsia="Times New Roman" w:hAnsiTheme="majorHAnsi" w:cs="Times New Roman"/>
          <w:iCs/>
          <w:color w:val="000000"/>
        </w:rPr>
        <w:t>Desitin</w:t>
      </w:r>
      <w:proofErr w:type="spellEnd"/>
      <w:r w:rsidRPr="00EB34DD">
        <w:rPr>
          <w:rFonts w:asciiTheme="majorHAnsi" w:eastAsia="Times New Roman" w:hAnsiTheme="majorHAnsi" w:cs="Times New Roman"/>
          <w:iCs/>
          <w:color w:val="000000"/>
        </w:rPr>
        <w:t xml:space="preserve">, Hamburg, Germany) or vehicle was administrated 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in 10 animals each </w:t>
      </w:r>
      <w:r w:rsidRPr="00EB34DD">
        <w:rPr>
          <w:rFonts w:asciiTheme="majorHAnsi" w:eastAsia="Times New Roman" w:hAnsiTheme="majorHAnsi" w:cs="Times New Roman"/>
          <w:iCs/>
          <w:color w:val="000000"/>
        </w:rPr>
        <w:t>immediately after reperfusion, 12 hours later and then twice dail</w:t>
      </w:r>
      <w:r>
        <w:rPr>
          <w:rFonts w:asciiTheme="majorHAnsi" w:eastAsia="Times New Roman" w:hAnsiTheme="majorHAnsi" w:cs="Times New Roman"/>
          <w:iCs/>
          <w:color w:val="000000"/>
        </w:rPr>
        <w:t>y (every 12 hours) for 7 days, to reflect an optimal treatment regimen for neuroprotection.</w:t>
      </w:r>
    </w:p>
    <w:p w:rsidR="00120772" w:rsidRDefault="00120772" w:rsidP="00120772">
      <w:pPr>
        <w:spacing w:before="120" w:after="120" w:line="276" w:lineRule="auto"/>
        <w:jc w:val="both"/>
        <w:rPr>
          <w:rFonts w:asciiTheme="majorHAnsi" w:eastAsia="Times New Roman" w:hAnsiTheme="majorHAnsi" w:cs="Times New Roman"/>
          <w:iCs/>
          <w:color w:val="000000"/>
        </w:rPr>
      </w:pPr>
      <w:r>
        <w:rPr>
          <w:rFonts w:asciiTheme="majorHAnsi" w:eastAsia="Times New Roman" w:hAnsiTheme="majorHAnsi" w:cs="Times New Roman"/>
          <w:iCs/>
          <w:color w:val="000000"/>
        </w:rPr>
        <w:t>Allocation of the animals to the treatment group or vehicle group was predetermined prior MCAO surgery using a computer-generated allocation table.  Primary outcome of interest was brain infarct measured in mm</w:t>
      </w:r>
      <w:r w:rsidRPr="00FA2BB6">
        <w:rPr>
          <w:rFonts w:asciiTheme="majorHAnsi" w:eastAsia="Times New Roman" w:hAnsiTheme="majorHAnsi" w:cs="Times New Roman"/>
          <w:iCs/>
          <w:color w:val="000000"/>
          <w:vertAlign w:val="superscript"/>
        </w:rPr>
        <w:t>3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 and determined by support staff who were not aware of the treatment status. Infarct volume of </w:t>
      </w:r>
      <w:r w:rsidRPr="00EB34DD">
        <w:rPr>
          <w:rFonts w:asciiTheme="majorHAnsi" w:eastAsia="Times New Roman" w:hAnsiTheme="majorHAnsi" w:cs="Times New Roman"/>
          <w:iCs/>
          <w:color w:val="000000"/>
        </w:rPr>
        <w:t xml:space="preserve">both groups 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was </w:t>
      </w:r>
      <w:r w:rsidRPr="00EB34DD">
        <w:rPr>
          <w:rFonts w:asciiTheme="majorHAnsi" w:eastAsia="Times New Roman" w:hAnsiTheme="majorHAnsi" w:cs="Times New Roman"/>
          <w:iCs/>
          <w:color w:val="000000"/>
        </w:rPr>
        <w:t>compared with student’s t-test for independent groups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, using </w:t>
      </w:r>
      <w:r w:rsidRPr="00EB34DD">
        <w:rPr>
          <w:rFonts w:asciiTheme="majorHAnsi" w:eastAsia="Times New Roman" w:hAnsiTheme="majorHAnsi" w:cs="Times New Roman"/>
          <w:iCs/>
          <w:color w:val="000000"/>
        </w:rPr>
        <w:t>a two-sided significance level of 0.05.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 Confidence intervals of the effect size were calculated using the package ‘</w:t>
      </w:r>
      <w:proofErr w:type="spellStart"/>
      <w:r w:rsidRPr="00962734">
        <w:rPr>
          <w:rFonts w:asciiTheme="majorHAnsi" w:eastAsia="Times New Roman" w:hAnsiTheme="majorHAnsi" w:cs="Times New Roman"/>
          <w:i/>
          <w:iCs/>
          <w:color w:val="000000"/>
        </w:rPr>
        <w:t>mbess</w:t>
      </w:r>
      <w:proofErr w:type="spellEnd"/>
      <w:r>
        <w:rPr>
          <w:rFonts w:asciiTheme="majorHAnsi" w:eastAsia="Times New Roman" w:hAnsiTheme="majorHAnsi" w:cs="Times New Roman"/>
          <w:i/>
          <w:iCs/>
          <w:color w:val="000000"/>
        </w:rPr>
        <w:t>’</w:t>
      </w:r>
      <w:r>
        <w:rPr>
          <w:rFonts w:asciiTheme="majorHAnsi" w:eastAsia="Times New Roman" w:hAnsiTheme="majorHAnsi" w:cs="Times New Roman"/>
          <w:iCs/>
          <w:color w:val="000000"/>
        </w:rPr>
        <w:t xml:space="preserve"> in R Software </w:t>
      </w:r>
      <w:r>
        <w:rPr>
          <w:rFonts w:asciiTheme="majorHAnsi" w:eastAsia="Times New Roman" w:hAnsiTheme="majorHAnsi" w:cs="Times New Roman"/>
          <w:iCs/>
          <w:color w:val="000000"/>
        </w:rPr>
        <w:fldChar w:fldCharType="begin"/>
      </w:r>
      <w:r>
        <w:rPr>
          <w:rFonts w:asciiTheme="majorHAnsi" w:eastAsia="Times New Roman" w:hAnsiTheme="majorHAnsi" w:cs="Times New Roman"/>
          <w:iCs/>
          <w:color w:val="000000"/>
        </w:rPr>
        <w:instrText xml:space="preserve"> ADDIN EN.CITE &lt;EndNote&gt;&lt;Cite&gt;&lt;Author&gt;Kelley&lt;/Author&gt;&lt;Year&gt;2007&lt;/Year&gt;&lt;RecNum&gt;70&lt;/RecNum&gt;&lt;DisplayText&gt;(Kelley 2007)&lt;/DisplayText&gt;&lt;record&gt;&lt;rec-number&gt;70&lt;/rec-number&gt;&lt;foreign-keys&gt;&lt;key app="EN" db-id="p52sptfdoff9vhefzxix9dtjrsx90t0dt0z0" timestamp="1535114302"&gt;70&lt;/key&gt;&lt;/foreign-keys&gt;&lt;ref-type name="Journal Article"&gt;17&lt;/ref-type&gt;&lt;contributors&gt;&lt;authors&gt;&lt;author&gt;Kelley, Ken&lt;/author&gt;&lt;/authors&gt;&lt;/contributors&gt;&lt;titles&gt;&lt;title&gt;Methods for the behavioral, educational, and social sciences: An R package&lt;/title&gt;&lt;secondary-title&gt;Behavior Research Methods&lt;/secondary-title&gt;&lt;/titles&gt;&lt;periodical&gt;&lt;full-title&gt;Behavior Research Methods&lt;/full-title&gt;&lt;/periodical&gt;&lt;pages&gt;979-984&lt;/pages&gt;&lt;volume&gt;39&lt;/volume&gt;&lt;number&gt;4&lt;/number&gt;&lt;dates&gt;&lt;year&gt;2007&lt;/year&gt;&lt;/dates&gt;&lt;isbn&gt;1554-351X&lt;/isbn&gt;&lt;urls&gt;&lt;/urls&gt;&lt;/record&gt;&lt;/Cite&gt;&lt;/EndNote&gt;</w:instrText>
      </w:r>
      <w:r>
        <w:rPr>
          <w:rFonts w:asciiTheme="majorHAnsi" w:eastAsia="Times New Roman" w:hAnsiTheme="majorHAnsi" w:cs="Times New Roman"/>
          <w:iCs/>
          <w:color w:val="000000"/>
        </w:rPr>
        <w:fldChar w:fldCharType="separate"/>
      </w:r>
      <w:r>
        <w:rPr>
          <w:rFonts w:asciiTheme="majorHAnsi" w:eastAsia="Times New Roman" w:hAnsiTheme="majorHAnsi" w:cs="Times New Roman"/>
          <w:iCs/>
          <w:noProof/>
          <w:color w:val="000000"/>
        </w:rPr>
        <w:t>(Kelley 2007)</w:t>
      </w:r>
      <w:r>
        <w:rPr>
          <w:rFonts w:asciiTheme="majorHAnsi" w:eastAsia="Times New Roman" w:hAnsiTheme="majorHAnsi" w:cs="Times New Roman"/>
          <w:iCs/>
          <w:color w:val="000000"/>
        </w:rPr>
        <w:fldChar w:fldCharType="end"/>
      </w:r>
      <w:r>
        <w:rPr>
          <w:rFonts w:asciiTheme="majorHAnsi" w:eastAsia="Times New Roman" w:hAnsiTheme="majorHAnsi" w:cs="Times New Roman"/>
          <w:iCs/>
          <w:color w:val="000000"/>
        </w:rPr>
        <w:t xml:space="preserve">. </w:t>
      </w:r>
    </w:p>
    <w:p w:rsidR="00120772" w:rsidRPr="00251E2B" w:rsidRDefault="00120772" w:rsidP="00120772">
      <w:pPr>
        <w:spacing w:line="276" w:lineRule="auto"/>
        <w:jc w:val="both"/>
        <w:rPr>
          <w:rFonts w:asciiTheme="majorHAnsi" w:hAnsiTheme="majorHAnsi"/>
        </w:rPr>
      </w:pPr>
      <w:r w:rsidRPr="00251E2B">
        <w:rPr>
          <w:rFonts w:asciiTheme="majorHAnsi" w:hAnsiTheme="majorHAnsi"/>
        </w:rPr>
        <w:t>All animal experiments, inclusive the welfare-related assessments and interventions that were carried out prior to, during, or after the experiment were performed according to protocols approved by the Berlin Authorities (ethics committee of the “</w:t>
      </w:r>
      <w:proofErr w:type="spellStart"/>
      <w:r w:rsidRPr="00251E2B">
        <w:rPr>
          <w:rFonts w:asciiTheme="majorHAnsi" w:hAnsiTheme="majorHAnsi"/>
        </w:rPr>
        <w:t>Landesamt</w:t>
      </w:r>
      <w:proofErr w:type="spellEnd"/>
      <w:r w:rsidRPr="00251E2B">
        <w:rPr>
          <w:rFonts w:asciiTheme="majorHAnsi" w:hAnsiTheme="majorHAnsi"/>
        </w:rPr>
        <w:t xml:space="preserve"> </w:t>
      </w:r>
      <w:proofErr w:type="spellStart"/>
      <w:r w:rsidRPr="00251E2B">
        <w:rPr>
          <w:rFonts w:asciiTheme="majorHAnsi" w:hAnsiTheme="majorHAnsi"/>
        </w:rPr>
        <w:t>für</w:t>
      </w:r>
      <w:proofErr w:type="spellEnd"/>
      <w:r w:rsidRPr="00251E2B">
        <w:rPr>
          <w:rFonts w:asciiTheme="majorHAnsi" w:hAnsiTheme="majorHAnsi"/>
        </w:rPr>
        <w:t xml:space="preserve"> Gesundheit und </w:t>
      </w:r>
      <w:proofErr w:type="spellStart"/>
      <w:r w:rsidRPr="00251E2B">
        <w:rPr>
          <w:rFonts w:asciiTheme="majorHAnsi" w:hAnsiTheme="majorHAnsi"/>
        </w:rPr>
        <w:t>Soziales</w:t>
      </w:r>
      <w:proofErr w:type="spellEnd"/>
      <w:r w:rsidRPr="00251E2B">
        <w:rPr>
          <w:rFonts w:asciiTheme="majorHAnsi" w:hAnsiTheme="majorHAnsi"/>
        </w:rPr>
        <w:t xml:space="preserve"> Berlin</w:t>
      </w:r>
      <w:r w:rsidRPr="003B76E8">
        <w:rPr>
          <w:rFonts w:asciiTheme="majorHAnsi" w:hAnsiTheme="majorHAnsi"/>
          <w:color w:val="FF0000"/>
        </w:rPr>
        <w:t>”</w:t>
      </w:r>
      <w:r w:rsidR="00121515" w:rsidRPr="003B76E8">
        <w:rPr>
          <w:rFonts w:asciiTheme="majorHAnsi" w:hAnsiTheme="majorHAnsi"/>
          <w:color w:val="FF0000"/>
        </w:rPr>
        <w:t xml:space="preserve">, </w:t>
      </w:r>
      <w:proofErr w:type="spellStart"/>
      <w:r w:rsidR="00121515" w:rsidRPr="003B76E8">
        <w:rPr>
          <w:rFonts w:asciiTheme="majorHAnsi" w:hAnsiTheme="majorHAnsi"/>
          <w:color w:val="FF0000"/>
        </w:rPr>
        <w:t>LaGeSo</w:t>
      </w:r>
      <w:proofErr w:type="spellEnd"/>
      <w:r w:rsidR="00121515" w:rsidRPr="003B76E8">
        <w:rPr>
          <w:rFonts w:asciiTheme="majorHAnsi" w:hAnsiTheme="majorHAnsi"/>
          <w:color w:val="FF0000"/>
        </w:rPr>
        <w:t xml:space="preserve"> </w:t>
      </w:r>
      <w:proofErr w:type="spellStart"/>
      <w:r w:rsidR="00121515" w:rsidRPr="003B76E8">
        <w:rPr>
          <w:rFonts w:asciiTheme="majorHAnsi" w:hAnsiTheme="majorHAnsi"/>
          <w:color w:val="FF0000"/>
        </w:rPr>
        <w:t>Reg</w:t>
      </w:r>
      <w:proofErr w:type="spellEnd"/>
      <w:r w:rsidR="00121515" w:rsidRPr="003B76E8">
        <w:rPr>
          <w:rFonts w:asciiTheme="majorHAnsi" w:hAnsiTheme="majorHAnsi"/>
          <w:color w:val="FF0000"/>
        </w:rPr>
        <w:t xml:space="preserve"> 390/09</w:t>
      </w:r>
      <w:r w:rsidRPr="00251E2B">
        <w:rPr>
          <w:rFonts w:asciiTheme="majorHAnsi" w:hAnsiTheme="majorHAnsi"/>
        </w:rPr>
        <w:t>).</w:t>
      </w:r>
    </w:p>
    <w:p w:rsidR="00120772" w:rsidRDefault="00120772" w:rsidP="00120772">
      <w:pPr>
        <w:spacing w:line="276" w:lineRule="auto"/>
        <w:jc w:val="both"/>
        <w:rPr>
          <w:rFonts w:asciiTheme="majorHAnsi" w:hAnsiTheme="majorHAnsi" w:cs="Times New Roman"/>
          <w:i/>
          <w:color w:val="5B9BD5" w:themeColor="accent1"/>
        </w:rPr>
      </w:pPr>
    </w:p>
    <w:p w:rsidR="00120772" w:rsidRPr="00B95F6A" w:rsidRDefault="00120772" w:rsidP="00120772">
      <w:pPr>
        <w:spacing w:line="276" w:lineRule="auto"/>
        <w:jc w:val="both"/>
        <w:rPr>
          <w:rFonts w:asciiTheme="majorHAnsi" w:hAnsiTheme="majorHAnsi" w:cs="Times New Roman"/>
          <w:b/>
          <w:color w:val="5B9BD5" w:themeColor="accent1"/>
          <w:sz w:val="28"/>
        </w:rPr>
      </w:pPr>
      <w:r w:rsidRPr="00B95F6A">
        <w:rPr>
          <w:rFonts w:asciiTheme="majorHAnsi" w:hAnsiTheme="majorHAnsi" w:cs="Times New Roman"/>
          <w:b/>
          <w:color w:val="5B9BD5" w:themeColor="accent1"/>
          <w:sz w:val="28"/>
        </w:rPr>
        <w:t xml:space="preserve">S1 Methods </w:t>
      </w:r>
      <w:r>
        <w:rPr>
          <w:rFonts w:asciiTheme="majorHAnsi" w:hAnsiTheme="majorHAnsi" w:cs="Times New Roman"/>
          <w:b/>
          <w:color w:val="5B9BD5" w:themeColor="accent1"/>
          <w:sz w:val="28"/>
        </w:rPr>
        <w:t>‘</w:t>
      </w:r>
      <w:r w:rsidRPr="00B95F6A">
        <w:rPr>
          <w:rFonts w:asciiTheme="majorHAnsi" w:hAnsiTheme="majorHAnsi" w:cs="Times New Roman"/>
          <w:b/>
          <w:color w:val="5B9BD5" w:themeColor="accent1"/>
          <w:sz w:val="28"/>
        </w:rPr>
        <w:t>replication</w:t>
      </w:r>
      <w:r>
        <w:rPr>
          <w:rFonts w:asciiTheme="majorHAnsi" w:hAnsiTheme="majorHAnsi" w:cs="Times New Roman"/>
          <w:b/>
          <w:color w:val="5B9BD5" w:themeColor="accent1"/>
          <w:sz w:val="28"/>
        </w:rPr>
        <w:t>’</w:t>
      </w:r>
      <w:r w:rsidRPr="00B95F6A">
        <w:rPr>
          <w:rFonts w:asciiTheme="majorHAnsi" w:hAnsiTheme="majorHAnsi" w:cs="Times New Roman"/>
          <w:b/>
          <w:color w:val="5B9BD5" w:themeColor="accent1"/>
          <w:sz w:val="28"/>
        </w:rPr>
        <w:t xml:space="preserve"> experiment</w:t>
      </w:r>
    </w:p>
    <w:p w:rsidR="00120772" w:rsidRDefault="00120772" w:rsidP="00120772">
      <w:pPr>
        <w:spacing w:line="276" w:lineRule="auto"/>
        <w:jc w:val="both"/>
        <w:rPr>
          <w:rFonts w:asciiTheme="majorHAnsi" w:hAnsiTheme="majorHAnsi" w:cs="Times New Roman"/>
          <w:i/>
          <w:color w:val="5B9BD5" w:themeColor="accent1"/>
        </w:rPr>
      </w:pPr>
    </w:p>
    <w:p w:rsidR="00120772" w:rsidRDefault="00120772" w:rsidP="00120772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="Times New Roman"/>
        </w:rPr>
        <w:t xml:space="preserve">For this unconventional replication experiment, we </w:t>
      </w:r>
      <w:r w:rsidRPr="00EB34DD">
        <w:rPr>
          <w:rFonts w:asciiTheme="majorHAnsi" w:hAnsiTheme="majorHAnsi" w:cs="Times New Roman"/>
        </w:rPr>
        <w:t xml:space="preserve">used a fair coin and </w:t>
      </w:r>
      <w:r>
        <w:rPr>
          <w:rFonts w:asciiTheme="majorHAnsi" w:hAnsiTheme="majorHAnsi" w:cs="Times New Roman"/>
        </w:rPr>
        <w:t xml:space="preserve">a single coin </w:t>
      </w:r>
      <w:r w:rsidRPr="00EB34DD">
        <w:rPr>
          <w:rFonts w:asciiTheme="majorHAnsi" w:hAnsiTheme="majorHAnsi" w:cs="Times New Roman"/>
        </w:rPr>
        <w:t>flip</w:t>
      </w:r>
      <w:r>
        <w:rPr>
          <w:rFonts w:asciiTheme="majorHAnsi" w:hAnsiTheme="majorHAnsi" w:cs="Times New Roman"/>
        </w:rPr>
        <w:t xml:space="preserve"> attempting to replicate the effectiveness of VPA on lowering brain infarct volumes</w:t>
      </w:r>
      <w:r w:rsidRPr="00EB34DD">
        <w:rPr>
          <w:rFonts w:asciiTheme="majorHAnsi" w:hAnsiTheme="majorHAnsi" w:cs="Times New Roman"/>
        </w:rPr>
        <w:t xml:space="preserve">. Study plan and </w:t>
      </w:r>
      <w:r>
        <w:rPr>
          <w:rFonts w:asciiTheme="majorHAnsi" w:hAnsiTheme="majorHAnsi" w:cs="Times New Roman"/>
        </w:rPr>
        <w:t>procedure of the replication experiment</w:t>
      </w:r>
      <w:r w:rsidRPr="00EB34DD">
        <w:rPr>
          <w:rFonts w:asciiTheme="majorHAnsi" w:hAnsiTheme="majorHAnsi" w:cs="Times New Roman"/>
        </w:rPr>
        <w:t xml:space="preserve"> were preregistered </w:t>
      </w:r>
      <w:r w:rsidRPr="00EB34DD">
        <w:rPr>
          <w:rFonts w:asciiTheme="majorHAnsi" w:hAnsiTheme="majorHAnsi" w:cs="Times New Roman"/>
        </w:rPr>
        <w:fldChar w:fldCharType="begin"/>
      </w:r>
      <w:r>
        <w:rPr>
          <w:rFonts w:asciiTheme="majorHAnsi" w:hAnsiTheme="majorHAnsi" w:cs="Times New Roman"/>
        </w:rPr>
        <w:instrText xml:space="preserve"> ADDIN EN.CITE &lt;EndNote&gt;&lt;Cite&gt;&lt;Author&gt;Dirnagl&lt;/Author&gt;&lt;Year&gt;2017&lt;/Year&gt;&lt;RecNum&gt;28&lt;/RecNum&gt;&lt;DisplayText&gt;(Dirnagl, Grittner et al. 2017)&lt;/DisplayText&gt;&lt;record&gt;&lt;rec-number&gt;28&lt;/rec-number&gt;&lt;foreign-keys&gt;&lt;key app="EN" db-id="p52sptfdoff9vhefzxix9dtjrsx90t0dt0z0" timestamp="1514579985"&gt;28&lt;/key&gt;&lt;/foreign-keys&gt;&lt;ref-type name="Journal Article"&gt;17&lt;/ref-type&gt;&lt;contributors&gt;&lt;authors&gt;&lt;author&gt;Dirnagl, Ulrich&lt;/author&gt;&lt;author&gt;Grittner, Ulrike&lt;/author&gt;&lt;author&gt;Ioannidis, J.P.A.&lt;/author&gt;&lt;author&gt;Nadon, Robert&lt;/author&gt;&lt;author&gt;Piper, S.K.&lt;/author&gt;&lt;author&gt;Rex, A.&lt;/author&gt;&lt;author&gt;Siegerink, Bob&lt;/author&gt;&lt;/authors&gt;&lt;/contributors&gt;&lt;titles&gt;&lt;title&gt;Neuroprotective efficacy of valproate in stroke: Replacing preclinical replication experiments by flipping coins? Retrieved from osf.io/gztjb&lt;/title&gt;&lt;/titles&gt;&lt;dates&gt;&lt;year&gt;2017&lt;/year&gt;&lt;/dates&gt;&lt;urls&gt;&lt;/urls&gt;&lt;/record&gt;&lt;/Cite&gt;&lt;/EndNote&gt;</w:instrText>
      </w:r>
      <w:r w:rsidRPr="00EB34DD">
        <w:rPr>
          <w:rFonts w:asciiTheme="majorHAnsi" w:hAnsiTheme="majorHAnsi" w:cs="Times New Roman"/>
        </w:rPr>
        <w:fldChar w:fldCharType="separate"/>
      </w:r>
      <w:r>
        <w:rPr>
          <w:rFonts w:asciiTheme="majorHAnsi" w:hAnsiTheme="majorHAnsi" w:cs="Times New Roman"/>
          <w:noProof/>
        </w:rPr>
        <w:t>(Dirnagl, Grittner et al. 2017)</w:t>
      </w:r>
      <w:r w:rsidRPr="00EB34DD">
        <w:rPr>
          <w:rFonts w:asciiTheme="majorHAnsi" w:hAnsiTheme="majorHAnsi" w:cs="Times New Roman"/>
        </w:rPr>
        <w:fldChar w:fldCharType="end"/>
      </w:r>
      <w:r w:rsidRPr="00EB34DD"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</w:rPr>
        <w:t xml:space="preserve"> A</w:t>
      </w:r>
      <w:r w:rsidRPr="00EB34DD">
        <w:rPr>
          <w:rFonts w:asciiTheme="majorHAnsi" w:hAnsiTheme="majorHAnsi" w:cs="Times New Roman"/>
        </w:rPr>
        <w:t xml:space="preserve"> 1 </w:t>
      </w:r>
      <w:r>
        <w:rPr>
          <w:rFonts w:asciiTheme="majorHAnsi" w:hAnsiTheme="majorHAnsi" w:cs="Times New Roman"/>
        </w:rPr>
        <w:t>euro</w:t>
      </w:r>
      <w:r w:rsidRPr="00EB34DD">
        <w:rPr>
          <w:rFonts w:asciiTheme="majorHAnsi" w:hAnsiTheme="majorHAnsi" w:cs="Times New Roman"/>
        </w:rPr>
        <w:t xml:space="preserve"> coin was selected from a set of 5 sufficiently fair 1€ coins placed in </w:t>
      </w:r>
      <w:proofErr w:type="gramStart"/>
      <w:r w:rsidRPr="00EB34DD">
        <w:rPr>
          <w:rFonts w:asciiTheme="majorHAnsi" w:hAnsiTheme="majorHAnsi" w:cs="Times New Roman"/>
        </w:rPr>
        <w:t>a</w:t>
      </w:r>
      <w:r>
        <w:rPr>
          <w:rFonts w:asciiTheme="majorHAnsi" w:hAnsiTheme="majorHAnsi" w:cs="Times New Roman"/>
        </w:rPr>
        <w:t>n</w:t>
      </w:r>
      <w:proofErr w:type="gramEnd"/>
      <w:r>
        <w:rPr>
          <w:rFonts w:asciiTheme="majorHAnsi" w:hAnsiTheme="majorHAnsi" w:cs="Times New Roman"/>
        </w:rPr>
        <w:t xml:space="preserve"> non</w:t>
      </w:r>
      <w:r w:rsidRPr="00EB34DD">
        <w:rPr>
          <w:rFonts w:asciiTheme="majorHAnsi" w:hAnsiTheme="majorHAnsi" w:cs="Times New Roman"/>
        </w:rPr>
        <w:t>transparent bag by a person unaware of the purpose of the procedure</w:t>
      </w:r>
      <w:r>
        <w:rPr>
          <w:rFonts w:asciiTheme="majorHAnsi" w:hAnsiTheme="majorHAnsi" w:cs="Times New Roman"/>
        </w:rPr>
        <w:t xml:space="preserve">, who then </w:t>
      </w:r>
      <w:r w:rsidRPr="00EB34DD">
        <w:rPr>
          <w:rFonts w:asciiTheme="majorHAnsi" w:hAnsiTheme="majorHAnsi" w:cs="Times New Roman"/>
        </w:rPr>
        <w:t xml:space="preserve">flipped the coin under the observation of two independent observers. </w:t>
      </w:r>
      <w:r>
        <w:rPr>
          <w:rFonts w:asciiTheme="majorHAnsi" w:hAnsiTheme="majorHAnsi" w:cs="Times New Roman"/>
        </w:rPr>
        <w:t xml:space="preserve">The rule for the translation of the coin flip to a statement regarding treatment efficacy was set </w:t>
      </w:r>
      <w:r w:rsidRPr="00BE4776">
        <w:rPr>
          <w:rFonts w:asciiTheme="majorHAnsi" w:hAnsiTheme="majorHAnsi" w:cs="Times New Roman"/>
          <w:i/>
        </w:rPr>
        <w:t>a priori</w:t>
      </w:r>
      <w:r>
        <w:rPr>
          <w:rFonts w:asciiTheme="majorHAnsi" w:hAnsiTheme="majorHAnsi" w:cs="Times New Roman"/>
        </w:rPr>
        <w:t xml:space="preserve">: if both observers determined the coin flip landed heads, the drug was deemed effective. Conversely, agreement that coin flip landed tails resulted in the conclusion that treatment was not effective. </w:t>
      </w:r>
      <w:r w:rsidRPr="00EB34DD">
        <w:rPr>
          <w:rFonts w:asciiTheme="majorHAnsi" w:hAnsiTheme="majorHAnsi" w:cs="Times New Roman"/>
        </w:rPr>
        <w:t xml:space="preserve">The coin flip was planned to be performed only once </w:t>
      </w:r>
      <w:r>
        <w:rPr>
          <w:rFonts w:asciiTheme="majorHAnsi" w:hAnsiTheme="majorHAnsi" w:cs="Times New Roman"/>
        </w:rPr>
        <w:t>unless</w:t>
      </w:r>
      <w:r w:rsidRPr="00EB34DD">
        <w:rPr>
          <w:rFonts w:asciiTheme="majorHAnsi" w:hAnsiTheme="majorHAnsi" w:cs="Times New Roman"/>
        </w:rPr>
        <w:t xml:space="preserve"> the observers </w:t>
      </w:r>
      <w:r>
        <w:rPr>
          <w:rFonts w:asciiTheme="majorHAnsi" w:hAnsiTheme="majorHAnsi" w:cs="Times New Roman"/>
        </w:rPr>
        <w:t>could not</w:t>
      </w:r>
      <w:r w:rsidRPr="00EB34DD">
        <w:rPr>
          <w:rFonts w:asciiTheme="majorHAnsi" w:hAnsiTheme="majorHAnsi" w:cs="Times New Roman"/>
        </w:rPr>
        <w:t xml:space="preserve"> agree whether</w:t>
      </w:r>
      <w:r>
        <w:rPr>
          <w:rFonts w:asciiTheme="majorHAnsi" w:hAnsiTheme="majorHAnsi" w:cs="Times New Roman"/>
        </w:rPr>
        <w:t xml:space="preserve"> the coin landed heads </w:t>
      </w:r>
      <w:r>
        <w:rPr>
          <w:rFonts w:asciiTheme="majorHAnsi" w:hAnsiTheme="majorHAnsi" w:cs="Times New Roman"/>
        </w:rPr>
        <w:lastRenderedPageBreak/>
        <w:t xml:space="preserve">or tails, or </w:t>
      </w:r>
      <w:r w:rsidRPr="00EB34DD">
        <w:rPr>
          <w:rFonts w:asciiTheme="majorHAnsi" w:hAnsiTheme="majorHAnsi" w:cs="Times New Roman"/>
        </w:rPr>
        <w:t xml:space="preserve">no outcome </w:t>
      </w:r>
      <w:r>
        <w:rPr>
          <w:rFonts w:asciiTheme="majorHAnsi" w:hAnsiTheme="majorHAnsi" w:cs="Times New Roman"/>
        </w:rPr>
        <w:t>could</w:t>
      </w:r>
      <w:r w:rsidRPr="00EB34DD">
        <w:rPr>
          <w:rFonts w:asciiTheme="majorHAnsi" w:hAnsiTheme="majorHAnsi" w:cs="Times New Roman"/>
        </w:rPr>
        <w:t xml:space="preserve"> be determined</w:t>
      </w:r>
      <w:r>
        <w:rPr>
          <w:rFonts w:asciiTheme="majorHAnsi" w:hAnsiTheme="majorHAnsi" w:cs="Times New Roman"/>
        </w:rPr>
        <w:t xml:space="preserve"> (e.g. coin slipped and was lost)</w:t>
      </w:r>
      <w:r w:rsidRPr="00EB34DD">
        <w:rPr>
          <w:rFonts w:asciiTheme="majorHAnsi" w:hAnsiTheme="majorHAnsi" w:cs="Times New Roman"/>
        </w:rPr>
        <w:t xml:space="preserve">. </w:t>
      </w:r>
      <w:r>
        <w:rPr>
          <w:rFonts w:asciiTheme="majorHAnsi" w:hAnsiTheme="majorHAnsi" w:cs="Times New Roman"/>
        </w:rPr>
        <w:t xml:space="preserve">Under one of these scenarios, </w:t>
      </w:r>
      <w:r w:rsidRPr="00EB34DD">
        <w:rPr>
          <w:rFonts w:asciiTheme="majorHAnsi" w:hAnsiTheme="majorHAnsi" w:cs="Times New Roman"/>
        </w:rPr>
        <w:t>the procedure would have been repeated with a fresh coin.</w:t>
      </w:r>
    </w:p>
    <w:p w:rsidR="00C745FF" w:rsidRDefault="00C745FF" w:rsidP="00120772">
      <w:pPr>
        <w:spacing w:line="276" w:lineRule="auto"/>
      </w:pPr>
    </w:p>
    <w:p w:rsidR="00EE1421" w:rsidRDefault="00EE1421" w:rsidP="00120772">
      <w:pPr>
        <w:spacing w:line="276" w:lineRule="auto"/>
      </w:pPr>
    </w:p>
    <w:p w:rsidR="00EE1421" w:rsidRPr="00803BE6" w:rsidRDefault="00EE1421" w:rsidP="00EE1421">
      <w:pPr>
        <w:rPr>
          <w:color w:val="FF0000"/>
        </w:rPr>
      </w:pPr>
    </w:p>
    <w:sectPr w:rsidR="00EE1421" w:rsidRPr="00803BE6" w:rsidSect="001207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72"/>
    <w:rsid w:val="00091138"/>
    <w:rsid w:val="00120772"/>
    <w:rsid w:val="00121515"/>
    <w:rsid w:val="002F417B"/>
    <w:rsid w:val="0039345E"/>
    <w:rsid w:val="003B76E8"/>
    <w:rsid w:val="005C0776"/>
    <w:rsid w:val="007B12D9"/>
    <w:rsid w:val="00803BE6"/>
    <w:rsid w:val="00865FD8"/>
    <w:rsid w:val="008C2657"/>
    <w:rsid w:val="009C0A23"/>
    <w:rsid w:val="00C30879"/>
    <w:rsid w:val="00C745FF"/>
    <w:rsid w:val="00C95062"/>
    <w:rsid w:val="00DA00A4"/>
    <w:rsid w:val="00DD7235"/>
    <w:rsid w:val="00EE1421"/>
    <w:rsid w:val="00F66068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8EBC"/>
  <w15:docId w15:val="{2387965F-872E-4907-98C2-39574FF8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0772"/>
    <w:pPr>
      <w:spacing w:after="0" w:line="480" w:lineRule="auto"/>
    </w:pPr>
    <w:rPr>
      <w:rFonts w:ascii="Times" w:eastAsiaTheme="minorEastAsia" w:hAnsi="Times"/>
      <w:sz w:val="24"/>
      <w:szCs w:val="24"/>
      <w:lang w:val="en-US" w:eastAsia="nl-N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14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207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1207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nl-NL"/>
    </w:rPr>
  </w:style>
  <w:style w:type="table" w:styleId="Tabellenraster">
    <w:name w:val="Table Grid"/>
    <w:basedOn w:val="NormaleTabelle"/>
    <w:uiPriority w:val="39"/>
    <w:rsid w:val="00120772"/>
    <w:pPr>
      <w:spacing w:after="0" w:line="240" w:lineRule="auto"/>
    </w:pPr>
    <w:rPr>
      <w:rFonts w:eastAsiaTheme="minorEastAsia"/>
      <w:sz w:val="24"/>
      <w:szCs w:val="24"/>
      <w:lang w:val="en-US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120772"/>
  </w:style>
  <w:style w:type="character" w:customStyle="1" w:styleId="berschrift1Zchn">
    <w:name w:val="Überschrift 1 Zchn"/>
    <w:basedOn w:val="Absatz-Standardschriftart"/>
    <w:link w:val="berschrift1"/>
    <w:uiPriority w:val="9"/>
    <w:rsid w:val="00EE14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nl-N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15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1515"/>
    <w:rPr>
      <w:rFonts w:ascii="Tahoma" w:eastAsiaTheme="minorEastAsia" w:hAnsi="Tahoma" w:cs="Tahoma"/>
      <w:sz w:val="16"/>
      <w:szCs w:val="16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ecedings.nature.com/documents/3492/version/3/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Piper, Sophie</dc:creator>
  <cp:keywords/>
  <dc:description/>
  <cp:lastModifiedBy>Piper, Sophie</cp:lastModifiedBy>
  <cp:revision>4</cp:revision>
  <dcterms:created xsi:type="dcterms:W3CDTF">2019-01-24T08:17:00Z</dcterms:created>
  <dcterms:modified xsi:type="dcterms:W3CDTF">2019-02-01T17:59:00Z</dcterms:modified>
</cp:coreProperties>
</file>