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431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432" w14:textId="77777777" w:rsidR="00F87988" w:rsidRDefault="00181A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S7 Table. </w:t>
      </w:r>
      <w:r>
        <w:rPr>
          <w:rFonts w:ascii="Times" w:eastAsia="Times" w:hAnsi="Times" w:cs="Times"/>
          <w:color w:val="000000"/>
        </w:rPr>
        <w:t xml:space="preserve">Consistency in drug treatment outcomes across variability induced by occlusion methodologies. For our second-order meta-regression, </w:t>
      </w:r>
      <w:r>
        <w:rPr>
          <w:rFonts w:ascii="Times" w:eastAsia="Times" w:hAnsi="Times" w:cs="Times"/>
          <w:color w:val="222222"/>
          <w:highlight w:val="white"/>
        </w:rPr>
        <w:t>we first separated our rat infarct volume data by occlusion methods. For each occlusion method data, we conducted a MLMR to estimate heterogeneity (</w:t>
      </w:r>
      <w:r w:rsidRPr="007C6244">
        <w:rPr>
          <w:rFonts w:ascii="Times" w:eastAsia="Times" w:hAnsi="Times" w:cs="Times"/>
          <w:i/>
          <w:iCs/>
          <w:color w:val="000000"/>
        </w:rPr>
        <w:t>I</w:t>
      </w:r>
      <w:r>
        <w:rPr>
          <w:rFonts w:ascii="Times" w:eastAsia="Times" w:hAnsi="Times" w:cs="Times"/>
          <w:color w:val="000000"/>
          <w:vertAlign w:val="superscript"/>
        </w:rPr>
        <w:t>2</w:t>
      </w:r>
      <w:r>
        <w:rPr>
          <w:rFonts w:ascii="Times" w:eastAsia="Times" w:hAnsi="Times" w:cs="Times"/>
          <w:color w:val="222222"/>
          <w:highlight w:val="white"/>
        </w:rPr>
        <w:t xml:space="preserve">) in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lnRR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including our original random (study ID, effect size ID and strain) and fixed effects (sex + drug treatment group). From our MLMR models, we extracted total </w:t>
      </w:r>
      <w:r w:rsidRPr="007C6244">
        <w:rPr>
          <w:rFonts w:ascii="Times" w:eastAsia="Times" w:hAnsi="Times" w:cs="Times"/>
          <w:i/>
          <w:iCs/>
          <w:color w:val="000000"/>
        </w:rPr>
        <w:t>I</w:t>
      </w:r>
      <w:r>
        <w:rPr>
          <w:rFonts w:ascii="Times" w:eastAsia="Times" w:hAnsi="Times" w:cs="Times"/>
          <w:color w:val="000000"/>
          <w:vertAlign w:val="superscript"/>
        </w:rPr>
        <w:t>2</w:t>
      </w:r>
      <w:r>
        <w:rPr>
          <w:rFonts w:ascii="Times" w:eastAsia="Times" w:hAnsi="Times" w:cs="Times"/>
          <w:color w:val="222222"/>
          <w:highlight w:val="white"/>
        </w:rPr>
        <w:t xml:space="preserve"> of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lnRR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and from this calculated the heterogeneity statistic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</w:t>
      </w:r>
      <w:r>
        <w:rPr>
          <w:rFonts w:ascii="Times" w:eastAsia="Times" w:hAnsi="Times" w:cs="Times"/>
          <w:i/>
          <w:color w:val="222222"/>
          <w:highlight w:val="white"/>
        </w:rPr>
        <w:t>H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.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</w:t>
      </w:r>
      <w:r>
        <w:rPr>
          <w:rFonts w:ascii="Times" w:eastAsia="Times" w:hAnsi="Times" w:cs="Times"/>
          <w:i/>
          <w:color w:val="222222"/>
          <w:highlight w:val="white"/>
        </w:rPr>
        <w:t>H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is a preferable effect size for downstream analyses as it is unbounded and has a relatively well-defined standard error to act as a measure of its precision [61 in main text]. Using the square of the standard error of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</w:t>
      </w:r>
      <w:r>
        <w:rPr>
          <w:rFonts w:ascii="Times" w:eastAsia="Times" w:hAnsi="Times" w:cs="Times"/>
          <w:i/>
          <w:color w:val="222222"/>
          <w:highlight w:val="white"/>
        </w:rPr>
        <w:t>H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as the sampling variance and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</w:t>
      </w:r>
      <w:r>
        <w:rPr>
          <w:rFonts w:ascii="Times" w:eastAsia="Times" w:hAnsi="Times" w:cs="Times"/>
          <w:i/>
          <w:color w:val="222222"/>
          <w:highlight w:val="white"/>
        </w:rPr>
        <w:t>H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as our response variable, we then fit a second-order meta-regression using the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lnCV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estimates of each occlusion method as a fixed predictor, and effect size ID as a random effect </w:t>
      </w:r>
      <w:r>
        <w:rPr>
          <w:rFonts w:ascii="Times" w:eastAsia="Times" w:hAnsi="Times" w:cs="Times"/>
          <w:color w:val="000000"/>
        </w:rPr>
        <w:t>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</w:rPr>
                  <m:t>2</m:t>
                </m:r>
              </m:sup>
            </m:sSup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Residual</m:t>
            </m:r>
          </m:sub>
        </m:sSub>
      </m:oMath>
      <w:r>
        <w:rPr>
          <w:rFonts w:ascii="Times" w:eastAsia="Times" w:hAnsi="Times" w:cs="Times"/>
          <w:color w:val="000000"/>
        </w:rPr>
        <w:t xml:space="preserve"> = 0.200)</w:t>
      </w:r>
      <w:r>
        <w:rPr>
          <w:rFonts w:ascii="Times" w:eastAsia="Times" w:hAnsi="Times" w:cs="Times"/>
          <w:color w:val="222222"/>
          <w:highlight w:val="white"/>
        </w:rPr>
        <w:t xml:space="preserve">. Unconditional estimates of </w:t>
      </w:r>
      <w:proofErr w:type="spellStart"/>
      <w:r>
        <w:rPr>
          <w:rFonts w:ascii="Times" w:eastAsia="Times" w:hAnsi="Times" w:cs="Times"/>
          <w:color w:val="222222"/>
          <w:highlight w:val="white"/>
        </w:rPr>
        <w:t>lnCV</w:t>
      </w:r>
      <w:proofErr w:type="spellEnd"/>
      <w:r>
        <w:rPr>
          <w:rFonts w:ascii="Times" w:eastAsia="Times" w:hAnsi="Times" w:cs="Times"/>
          <w:color w:val="222222"/>
          <w:highlight w:val="white"/>
        </w:rPr>
        <w:t xml:space="preserve"> were obtained from our MLMR models of methodological variability (Table S1) described in our main text. </w:t>
      </w:r>
      <w:r>
        <w:rPr>
          <w:rFonts w:ascii="Times" w:eastAsia="Times" w:hAnsi="Times" w:cs="Times"/>
          <w:color w:val="000000"/>
        </w:rPr>
        <w:t xml:space="preserve">Estimates and 95% credible intervals from this second-order MLMR model is reported below. Estimates with credible intervals that do not span zero are considered statistically significant. See S3 Fig for a line-plot depicting the relationship between </w:t>
      </w:r>
      <w:proofErr w:type="spellStart"/>
      <w:r>
        <w:rPr>
          <w:rFonts w:ascii="Times" w:eastAsia="Times" w:hAnsi="Times" w:cs="Times"/>
          <w:color w:val="000000"/>
        </w:rPr>
        <w:t>ln</w:t>
      </w:r>
      <w:r>
        <w:rPr>
          <w:rFonts w:ascii="Times" w:eastAsia="Times" w:hAnsi="Times" w:cs="Times"/>
          <w:i/>
          <w:color w:val="000000"/>
        </w:rPr>
        <w:t>H</w:t>
      </w:r>
      <w:proofErr w:type="spellEnd"/>
      <w:r>
        <w:rPr>
          <w:rFonts w:ascii="Times" w:eastAsia="Times" w:hAnsi="Times" w:cs="Times"/>
          <w:color w:val="000000"/>
        </w:rPr>
        <w:t xml:space="preserve"> and </w:t>
      </w:r>
      <w:proofErr w:type="spellStart"/>
      <w:r>
        <w:rPr>
          <w:rFonts w:ascii="Times" w:eastAsia="Times" w:hAnsi="Times" w:cs="Times"/>
          <w:color w:val="000000"/>
        </w:rPr>
        <w:t>lnCV</w:t>
      </w:r>
      <w:proofErr w:type="spellEnd"/>
      <w:r>
        <w:rPr>
          <w:rFonts w:ascii="Times" w:eastAsia="Times" w:hAnsi="Times" w:cs="Times"/>
          <w:color w:val="000000"/>
        </w:rPr>
        <w:t xml:space="preserve"> with the model fitted line.</w:t>
      </w:r>
    </w:p>
    <w:p w14:paraId="00000433" w14:textId="77777777" w:rsidR="00F87988" w:rsidRDefault="00F879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tbl>
      <w:tblPr>
        <w:tblStyle w:val="a5"/>
        <w:tblW w:w="8921" w:type="dxa"/>
        <w:tblLayout w:type="fixed"/>
        <w:tblLook w:val="0400" w:firstRow="0" w:lastRow="0" w:firstColumn="0" w:lastColumn="0" w:noHBand="0" w:noVBand="1"/>
      </w:tblPr>
      <w:tblGrid>
        <w:gridCol w:w="3818"/>
        <w:gridCol w:w="2126"/>
        <w:gridCol w:w="1559"/>
        <w:gridCol w:w="1418"/>
      </w:tblGrid>
      <w:tr w:rsidR="00F87988" w14:paraId="0C8C729D" w14:textId="77777777">
        <w:trPr>
          <w:trHeight w:val="320"/>
        </w:trPr>
        <w:tc>
          <w:tcPr>
            <w:tcW w:w="381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434" w14:textId="77777777" w:rsidR="00F87988" w:rsidRDefault="00181A76">
            <w:pPr>
              <w:spacing w:before="120"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Parameters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435" w14:textId="77777777" w:rsidR="00F87988" w:rsidRDefault="00181A76">
            <w:pPr>
              <w:jc w:val="right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lnH (β)</m:t>
                </m:r>
              </m:oMath>
            </m:oMathPara>
          </w:p>
        </w:tc>
        <w:tc>
          <w:tcPr>
            <w:tcW w:w="155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436" w14:textId="77777777" w:rsidR="00F87988" w:rsidRDefault="00181A76">
            <w:pPr>
              <w:spacing w:before="120" w:line="48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0437" w14:textId="77777777" w:rsidR="00F87988" w:rsidRDefault="00181A76">
            <w:pPr>
              <w:spacing w:before="120" w:line="48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</w:tr>
      <w:tr w:rsidR="00F87988" w14:paraId="031599BA" w14:textId="77777777">
        <w:trPr>
          <w:trHeight w:val="320"/>
        </w:trPr>
        <w:tc>
          <w:tcPr>
            <w:tcW w:w="381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38" w14:textId="77777777" w:rsidR="00F87988" w:rsidRDefault="00181A76">
            <w:pPr>
              <w:spacing w:before="120" w:after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Intercept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39" w14:textId="77777777" w:rsidR="00F87988" w:rsidRDefault="00181A76">
            <w:pPr>
              <w:spacing w:before="12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-0.266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3A" w14:textId="77777777" w:rsidR="00F87988" w:rsidRDefault="00181A76">
            <w:pPr>
              <w:spacing w:before="12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-1.956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000043B" w14:textId="77777777" w:rsidR="00F87988" w:rsidRDefault="00181A76">
            <w:pPr>
              <w:spacing w:before="12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1.424</w:t>
            </w:r>
          </w:p>
        </w:tc>
      </w:tr>
      <w:tr w:rsidR="00F87988" w14:paraId="6EB719E2" w14:textId="77777777">
        <w:trPr>
          <w:trHeight w:val="320"/>
        </w:trPr>
        <w:tc>
          <w:tcPr>
            <w:tcW w:w="38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43C" w14:textId="77777777" w:rsidR="00F87988" w:rsidRDefault="00181A76">
            <w:pPr>
              <w:spacing w:after="12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lnCV</w:t>
            </w:r>
            <w:proofErr w:type="spellEnd"/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43D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-0.876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43E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-2.047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43F" w14:textId="77777777" w:rsidR="00F87988" w:rsidRDefault="00181A76">
            <w:pPr>
              <w:spacing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0.295</w:t>
            </w:r>
          </w:p>
        </w:tc>
      </w:tr>
    </w:tbl>
    <w:p w14:paraId="00000441" w14:textId="77777777" w:rsidR="00F87988" w:rsidRDefault="00F87988">
      <w:pPr>
        <w:spacing w:line="360" w:lineRule="auto"/>
        <w:rPr>
          <w:rFonts w:ascii="Times" w:eastAsia="Times" w:hAnsi="Times" w:cs="Times"/>
        </w:rPr>
      </w:pPr>
    </w:p>
    <w:sectPr w:rsidR="00F87988" w:rsidSect="00970E64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CE84F" w14:textId="77777777" w:rsidR="008F31C8" w:rsidRDefault="008F31C8">
      <w:r>
        <w:separator/>
      </w:r>
    </w:p>
  </w:endnote>
  <w:endnote w:type="continuationSeparator" w:id="0">
    <w:p w14:paraId="7E51AA9D" w14:textId="77777777" w:rsidR="008F31C8" w:rsidRDefault="008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3BCD" w14:textId="77777777" w:rsidR="008F31C8" w:rsidRDefault="008F31C8">
      <w:r>
        <w:separator/>
      </w:r>
    </w:p>
  </w:footnote>
  <w:footnote w:type="continuationSeparator" w:id="0">
    <w:p w14:paraId="3F5599B4" w14:textId="77777777" w:rsidR="008F31C8" w:rsidRDefault="008F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204F"/>
    <w:multiLevelType w:val="multilevel"/>
    <w:tmpl w:val="3D58C69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88"/>
    <w:rsid w:val="001034D2"/>
    <w:rsid w:val="00181A76"/>
    <w:rsid w:val="003D2C4E"/>
    <w:rsid w:val="004F65B4"/>
    <w:rsid w:val="005228A4"/>
    <w:rsid w:val="006D1FA9"/>
    <w:rsid w:val="007C6244"/>
    <w:rsid w:val="00801F0F"/>
    <w:rsid w:val="008F31C8"/>
    <w:rsid w:val="00910354"/>
    <w:rsid w:val="00970E64"/>
    <w:rsid w:val="00D46A7B"/>
    <w:rsid w:val="00DC717B"/>
    <w:rsid w:val="00E72913"/>
    <w:rsid w:val="00F87988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5D9BC"/>
  <w15:docId w15:val="{B51C3E88-DACA-F943-AA3E-FA4DE61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E6"/>
    <w:pPr>
      <w:spacing w:after="160"/>
    </w:pPr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E6"/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B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11B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011B4"/>
  </w:style>
  <w:style w:type="table" w:styleId="TableGrid">
    <w:name w:val="Table Grid"/>
    <w:basedOn w:val="TableNormal"/>
    <w:uiPriority w:val="39"/>
    <w:rsid w:val="005011B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011B4"/>
  </w:style>
  <w:style w:type="character" w:styleId="PlaceholderText">
    <w:name w:val="Placeholder Text"/>
    <w:basedOn w:val="DefaultParagraphFont"/>
    <w:uiPriority w:val="99"/>
    <w:semiHidden/>
    <w:rsid w:val="002C0D6A"/>
    <w:rPr>
      <w:color w:val="808080"/>
    </w:rPr>
  </w:style>
  <w:style w:type="paragraph" w:customStyle="1" w:styleId="Body">
    <w:name w:val="Body"/>
    <w:rsid w:val="00E032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kern w:val="2"/>
      <w:u w:color="000000"/>
      <w:lang w:val="en-US" w:bidi="bo-CN"/>
    </w:rPr>
  </w:style>
  <w:style w:type="paragraph" w:styleId="NormalWeb">
    <w:name w:val="Normal (Web)"/>
    <w:basedOn w:val="Normal"/>
    <w:uiPriority w:val="99"/>
    <w:unhideWhenUsed/>
    <w:rsid w:val="0054387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MSWtFB7xaxKISTQeEzD3UyPMw==">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Takuji</dc:creator>
  <cp:lastModifiedBy>Takuji Usui</cp:lastModifiedBy>
  <cp:revision>3</cp:revision>
  <dcterms:created xsi:type="dcterms:W3CDTF">2021-05-05T23:23:00Z</dcterms:created>
  <dcterms:modified xsi:type="dcterms:W3CDTF">2021-05-06T18:25:00Z</dcterms:modified>
</cp:coreProperties>
</file>