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467" w14:textId="77777777" w:rsidR="00F87988" w:rsidRDefault="00181A76">
      <w:pPr>
        <w:spacing w:line="360" w:lineRule="auto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S9 Table. </w:t>
      </w:r>
      <w:r>
        <w:rPr>
          <w:rFonts w:ascii="Times" w:eastAsia="Times" w:hAnsi="Times" w:cs="Times"/>
        </w:rPr>
        <w:t xml:space="preserve">Model estimates (unconditional) and 95% credible intervals for </w:t>
      </w:r>
      <w:proofErr w:type="spellStart"/>
      <w:r>
        <w:rPr>
          <w:rFonts w:ascii="Times" w:eastAsia="Times" w:hAnsi="Times" w:cs="Times"/>
        </w:rPr>
        <w:t>lnRR</w:t>
      </w:r>
      <w:proofErr w:type="spellEnd"/>
      <w:r>
        <w:rPr>
          <w:rFonts w:ascii="Times" w:eastAsia="Times" w:hAnsi="Times" w:cs="Times"/>
        </w:rPr>
        <w:t xml:space="preserve"> and </w:t>
      </w:r>
      <w:proofErr w:type="spellStart"/>
      <w:r>
        <w:rPr>
          <w:rFonts w:ascii="Times" w:eastAsia="Times" w:hAnsi="Times" w:cs="Times"/>
        </w:rPr>
        <w:t>lnSD</w:t>
      </w:r>
      <w:proofErr w:type="spellEnd"/>
      <w:r>
        <w:rPr>
          <w:rFonts w:ascii="Times" w:eastAsia="Times" w:hAnsi="Times" w:cs="Times"/>
        </w:rPr>
        <w:t xml:space="preserve">. Estimates of </w:t>
      </w:r>
      <w:proofErr w:type="spellStart"/>
      <w:r>
        <w:rPr>
          <w:rFonts w:ascii="Times" w:eastAsia="Times" w:hAnsi="Times" w:cs="Times"/>
        </w:rPr>
        <w:t>lnSD</w:t>
      </w:r>
      <w:proofErr w:type="spellEnd"/>
      <w:r>
        <w:rPr>
          <w:rFonts w:ascii="Times" w:eastAsia="Times" w:hAnsi="Times" w:cs="Times"/>
        </w:rPr>
        <w:t xml:space="preserve"> were obtained from an arm-based, multi-level regression model (MLMR) of </w:t>
      </w:r>
      <w:proofErr w:type="spellStart"/>
      <w:r>
        <w:rPr>
          <w:rFonts w:ascii="Times" w:eastAsia="Times" w:hAnsi="Times" w:cs="Times"/>
        </w:rPr>
        <w:t>lnSD</w:t>
      </w:r>
      <w:proofErr w:type="spellEnd"/>
      <w:r>
        <w:rPr>
          <w:rFonts w:ascii="Times" w:eastAsia="Times" w:hAnsi="Times" w:cs="Times"/>
        </w:rPr>
        <w:t xml:space="preserve"> in infarct volume for both treatment and control groups. Original fixed (drug treatment group and sex) and random effects (study ID, effect size ID and strain) were fit, in addition to a nested random effect of “Drug treatment group | pairwise ID”. Estimates of </w:t>
      </w:r>
      <w:proofErr w:type="spellStart"/>
      <w:r>
        <w:rPr>
          <w:rFonts w:ascii="Times" w:eastAsia="Times" w:hAnsi="Times" w:cs="Times"/>
        </w:rPr>
        <w:t>lnRR</w:t>
      </w:r>
      <w:proofErr w:type="spellEnd"/>
      <w:r>
        <w:rPr>
          <w:rFonts w:ascii="Times" w:eastAsia="Times" w:hAnsi="Times" w:cs="Times"/>
        </w:rPr>
        <w:t xml:space="preserve"> are from the main analysis of mean drug treatment effects and are the same as in S3 Table. Treatment effects (</w:t>
      </w:r>
      <w:proofErr w:type="spellStart"/>
      <w:r>
        <w:rPr>
          <w:rFonts w:ascii="Times" w:eastAsia="Times" w:hAnsi="Times" w:cs="Times"/>
        </w:rPr>
        <w:t>DrugGroup</w:t>
      </w:r>
      <w:proofErr w:type="spellEnd"/>
      <w:r>
        <w:rPr>
          <w:rFonts w:ascii="Times" w:eastAsia="Times" w:hAnsi="Times" w:cs="Times"/>
        </w:rPr>
        <w:t xml:space="preserve">) are ordered from groups that produce, on average, the greatest reduction in infarct volume (i.e., the most effective, as indicated by most negative estimates of </w:t>
      </w:r>
      <w:proofErr w:type="spellStart"/>
      <w:r>
        <w:rPr>
          <w:rFonts w:ascii="Times" w:eastAsia="Times" w:hAnsi="Times" w:cs="Times"/>
        </w:rPr>
        <w:t>lnRR</w:t>
      </w:r>
      <w:proofErr w:type="spellEnd"/>
      <w:r>
        <w:rPr>
          <w:rFonts w:ascii="Times" w:eastAsia="Times" w:hAnsi="Times" w:cs="Times"/>
        </w:rPr>
        <w:t>) to groups that are, on average, the least effective.</w:t>
      </w:r>
    </w:p>
    <w:tbl>
      <w:tblPr>
        <w:tblStyle w:val="a7"/>
        <w:tblW w:w="13462" w:type="dxa"/>
        <w:tblLayout w:type="fixed"/>
        <w:tblLook w:val="0400" w:firstRow="0" w:lastRow="0" w:firstColumn="0" w:lastColumn="0" w:noHBand="0" w:noVBand="1"/>
      </w:tblPr>
      <w:tblGrid>
        <w:gridCol w:w="4531"/>
        <w:gridCol w:w="1560"/>
        <w:gridCol w:w="1417"/>
        <w:gridCol w:w="1559"/>
        <w:gridCol w:w="1418"/>
        <w:gridCol w:w="1417"/>
        <w:gridCol w:w="1560"/>
      </w:tblGrid>
      <w:tr w:rsidR="00F87988" w14:paraId="4DC2F2A1" w14:textId="77777777">
        <w:trPr>
          <w:trHeight w:val="320"/>
        </w:trPr>
        <w:tc>
          <w:tcPr>
            <w:tcW w:w="4531" w:type="dxa"/>
            <w:vMerge w:val="restart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0000468" w14:textId="77777777" w:rsidR="00F87988" w:rsidRDefault="00181A76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Parameter</w:t>
            </w:r>
          </w:p>
        </w:tc>
        <w:tc>
          <w:tcPr>
            <w:tcW w:w="4536" w:type="dxa"/>
            <w:gridSpan w:val="3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0000469" w14:textId="77777777" w:rsidR="00F87988" w:rsidRDefault="00181A76">
            <w:pPr>
              <w:spacing w:before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                            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lnRR</w:t>
            </w:r>
            <w:proofErr w:type="spellEnd"/>
          </w:p>
        </w:tc>
        <w:tc>
          <w:tcPr>
            <w:tcW w:w="4395" w:type="dxa"/>
            <w:gridSpan w:val="3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000046C" w14:textId="77777777" w:rsidR="00F87988" w:rsidRDefault="00181A76">
            <w:pPr>
              <w:spacing w:before="12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                            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lnSD</w:t>
            </w:r>
            <w:proofErr w:type="spellEnd"/>
          </w:p>
        </w:tc>
      </w:tr>
      <w:tr w:rsidR="00F87988" w14:paraId="4AE2F530" w14:textId="77777777">
        <w:trPr>
          <w:trHeight w:val="320"/>
        </w:trPr>
        <w:tc>
          <w:tcPr>
            <w:tcW w:w="4531" w:type="dxa"/>
            <w:vMerge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0000046F" w14:textId="77777777" w:rsidR="00F87988" w:rsidRDefault="00F87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00470" w14:textId="77777777" w:rsidR="00F87988" w:rsidRDefault="00181A76">
            <w:pPr>
              <w:jc w:val="right"/>
              <w:rPr>
                <w:rFonts w:ascii="Cambria Math" w:eastAsia="Cambria Math" w:hAnsi="Cambria Math" w:cs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 xml:space="preserve"> β</m:t>
                </m:r>
              </m:oMath>
            </m:oMathPara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00471" w14:textId="77777777" w:rsidR="00F87988" w:rsidRDefault="00181A76">
            <w:pPr>
              <w:spacing w:before="60"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LCI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00472" w14:textId="77777777" w:rsidR="00F87988" w:rsidRDefault="00181A76">
            <w:pPr>
              <w:spacing w:before="60"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UCI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00473" w14:textId="77777777" w:rsidR="00F87988" w:rsidRDefault="00181A76">
            <w:pPr>
              <w:jc w:val="right"/>
              <w:rPr>
                <w:rFonts w:ascii="Cambria Math" w:eastAsia="Cambria Math" w:hAnsi="Cambria Math" w:cs="Cambria Math"/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 xml:space="preserve"> β</m:t>
                </m:r>
              </m:oMath>
            </m:oMathPara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00474" w14:textId="77777777" w:rsidR="00F87988" w:rsidRDefault="00181A76">
            <w:pPr>
              <w:spacing w:before="60"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LCI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00000475" w14:textId="77777777" w:rsidR="00F87988" w:rsidRDefault="00181A76">
            <w:pPr>
              <w:spacing w:before="60"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UCI</w:t>
            </w:r>
          </w:p>
        </w:tc>
      </w:tr>
      <w:tr w:rsidR="00F87988" w14:paraId="7FE4FF16" w14:textId="77777777">
        <w:trPr>
          <w:trHeight w:val="320"/>
        </w:trPr>
        <w:tc>
          <w:tcPr>
            <w:tcW w:w="4531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Sex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MALE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-0.417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-0.478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-0.356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2.676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2.504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0000047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2.849</w:t>
            </w:r>
          </w:p>
        </w:tc>
      </w:tr>
      <w:tr w:rsidR="00F87988" w14:paraId="0F1AE83B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7D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Sex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FEMALE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7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-0.358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7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-0.497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8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-0.218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8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2.406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8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2.115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8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2.696</w:t>
            </w:r>
          </w:p>
        </w:tc>
      </w:tr>
      <w:tr w:rsidR="00F87988" w14:paraId="164BCF04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84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Sex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BOTH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8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-0.233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8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-0.451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8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-0.015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8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2.397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8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1.972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8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2.822</w:t>
            </w:r>
          </w:p>
        </w:tc>
      </w:tr>
      <w:tr w:rsidR="00F87988" w14:paraId="75518D0A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8B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HYPOTHERMIA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8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-0.687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8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-0.775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8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-0.599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8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2.774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9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2.562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9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2.987</w:t>
            </w:r>
          </w:p>
        </w:tc>
      </w:tr>
      <w:tr w:rsidR="00F87988" w14:paraId="549CA880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9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OMEGA-3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9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-0.631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9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-0.770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9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-0.491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9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2.849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9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2.556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9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3.141</w:t>
            </w:r>
          </w:p>
        </w:tc>
      </w:tr>
      <w:tr w:rsidR="00F87988" w14:paraId="18F917AF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99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GTPase INHIBITOR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9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-0.546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9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-0.737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9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-0.355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9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2.688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9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9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3.066</w:t>
            </w:r>
          </w:p>
        </w:tc>
      </w:tr>
      <w:tr w:rsidR="00F87988" w14:paraId="270E5E9B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A0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ESTROGEN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A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-0.535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A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-0.702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A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-0.368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A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2.926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A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2.579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A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3.273</w:t>
            </w:r>
          </w:p>
        </w:tc>
      </w:tr>
      <w:tr w:rsidR="00F87988" w14:paraId="6D502577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A7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PPAR-GAMMA AGONIST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A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-0.531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A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-0.652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A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-0.410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A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2.585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A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A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2.860</w:t>
            </w:r>
          </w:p>
        </w:tc>
      </w:tr>
      <w:tr w:rsidR="00F87988" w14:paraId="36BA392C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A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NOOTROPIC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A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-0.524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B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-0.869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B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-0.179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B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2.052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B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1.371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B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2.732</w:t>
            </w:r>
          </w:p>
        </w:tc>
      </w:tr>
      <w:tr w:rsidR="00F87988" w14:paraId="2130190A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B5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ANTI-INFLAMMATORY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B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-0.502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B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-0.683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B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-0.322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B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B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2.433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B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3.167</w:t>
            </w:r>
          </w:p>
        </w:tc>
      </w:tr>
      <w:tr w:rsidR="00F87988" w14:paraId="4D3D561F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BC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IMMUNOSUPPRESSANT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B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-0.477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B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-0.619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B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-0.334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C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2.761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C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2.448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C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3.074</w:t>
            </w:r>
          </w:p>
        </w:tc>
      </w:tr>
      <w:tr w:rsidR="00F87988" w14:paraId="451DB3A9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C3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ANTIOXIDANT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C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-0.457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C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-0.571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C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-0.343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C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2.605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C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2.349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C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2.861</w:t>
            </w:r>
          </w:p>
        </w:tc>
      </w:tr>
      <w:tr w:rsidR="00F87988" w14:paraId="1F82306A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C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VITAMIN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C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-0.422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C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C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-0.224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C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2.756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C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2.317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D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3.195</w:t>
            </w:r>
          </w:p>
        </w:tc>
      </w:tr>
      <w:tr w:rsidR="00F87988" w14:paraId="60881A10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D1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MK801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D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-0.399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D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D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-0.258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D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2.338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D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2.043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D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2.634</w:t>
            </w:r>
          </w:p>
        </w:tc>
      </w:tr>
      <w:tr w:rsidR="00F87988" w14:paraId="605CC38F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D8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GROWTH FACTOR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D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-0.360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D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-0.464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D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-0.256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D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2.745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D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2.510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D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2.980</w:t>
            </w:r>
          </w:p>
        </w:tc>
      </w:tr>
      <w:tr w:rsidR="00F87988" w14:paraId="61C7266E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DF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HMG-CoA REDUCTASE ANTAGONIST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E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-0.360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E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-0.497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E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-0.222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E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2.582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E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2.295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E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2.870</w:t>
            </w:r>
          </w:p>
        </w:tc>
      </w:tr>
      <w:tr w:rsidR="00F87988" w14:paraId="301A2FDD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E6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THROMBOLYTICS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E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-0.351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E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-0.446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E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-0.256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E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2.833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E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2.609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E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3.058</w:t>
            </w:r>
          </w:p>
        </w:tc>
      </w:tr>
      <w:tr w:rsidR="00F87988" w14:paraId="77AB0C52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ED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lastRenderedPageBreak/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CITOCHOLINE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E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-0.340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E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-0.520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F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-0.161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F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2.747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F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2.359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F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3.134</w:t>
            </w:r>
          </w:p>
        </w:tc>
      </w:tr>
      <w:tr w:rsidR="00F87988" w14:paraId="78049A39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F4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ANTIBIOTIC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F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-0.331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F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-0.632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F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-0.031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F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2.884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F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2.281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F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3.487</w:t>
            </w:r>
          </w:p>
        </w:tc>
      </w:tr>
      <w:tr w:rsidR="00F87988" w14:paraId="639D8766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4FB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EXERCISE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4F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-0.322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4F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-0.466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4F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-0.179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4F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2.392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0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2.089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0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2.696</w:t>
            </w:r>
          </w:p>
        </w:tc>
      </w:tr>
      <w:tr w:rsidR="00F87988" w14:paraId="2D60364A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02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NOS INHIBITOR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0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-0.306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0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-0.411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0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-0.202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0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3.002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0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2.764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0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3.239</w:t>
            </w:r>
          </w:p>
        </w:tc>
      </w:tr>
      <w:tr w:rsidR="00F87988" w14:paraId="5F0F6D61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09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ANTIDEPRESSANT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0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-0.285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0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-0.451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0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-0.118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0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2.556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0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2.218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0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2.894</w:t>
            </w:r>
          </w:p>
        </w:tc>
      </w:tr>
      <w:tr w:rsidR="00F87988" w14:paraId="6DE3FA6D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10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NO DONOR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1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-0.257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1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-0.420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1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-0.093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1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2.867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1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2.524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1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3.210</w:t>
            </w:r>
          </w:p>
        </w:tc>
      </w:tr>
      <w:tr w:rsidR="00F87988" w14:paraId="5E0B1FC8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17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STEM CELLS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1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-0.222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1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-0.311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1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-0.132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1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2.104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1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1.885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1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2.322</w:t>
            </w:r>
          </w:p>
        </w:tc>
      </w:tr>
      <w:tr w:rsidR="00F87988" w14:paraId="6BCF22FB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1E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ANGIOTENSIN RECEPTOR BLOCKER (ARB)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1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2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2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0.423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2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2.265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23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1.003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2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3.527</w:t>
            </w:r>
          </w:p>
        </w:tc>
      </w:tr>
      <w:tr w:rsidR="00F87988" w14:paraId="047DE389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25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HBOT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2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-0.098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2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-0.634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2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0.438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2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2.516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2A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1.240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2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3.791</w:t>
            </w:r>
          </w:p>
        </w:tc>
      </w:tr>
      <w:tr w:rsidR="00F87988" w14:paraId="6C8EA50E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2C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MIXED TRAINING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2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-0.009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2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-0.259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2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0.241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3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1.912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31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1.395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32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2.428</w:t>
            </w:r>
          </w:p>
        </w:tc>
      </w:tr>
      <w:tr w:rsidR="00F87988" w14:paraId="375F0352" w14:textId="77777777">
        <w:trPr>
          <w:trHeight w:val="320"/>
        </w:trPr>
        <w:tc>
          <w:tcPr>
            <w:tcW w:w="4531" w:type="dxa"/>
            <w:shd w:val="clear" w:color="auto" w:fill="auto"/>
            <w:vAlign w:val="bottom"/>
          </w:tcPr>
          <w:p w14:paraId="00000533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TRAINING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34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0.048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35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-0.242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36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0.338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37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2.906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38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2.374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39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3.437</w:t>
            </w:r>
          </w:p>
        </w:tc>
      </w:tr>
      <w:tr w:rsidR="00F87988" w14:paraId="530F36BB" w14:textId="77777777">
        <w:trPr>
          <w:trHeight w:val="324"/>
        </w:trPr>
        <w:tc>
          <w:tcPr>
            <w:tcW w:w="4531" w:type="dxa"/>
            <w:shd w:val="clear" w:color="auto" w:fill="auto"/>
            <w:vAlign w:val="bottom"/>
          </w:tcPr>
          <w:p w14:paraId="0000053A" w14:textId="77777777" w:rsidR="00F87988" w:rsidRDefault="00181A76">
            <w:pPr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DrugGroup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  <w:vertAlign w:val="subscript"/>
              </w:rPr>
              <w:t>ENVIRONMENT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3B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0.071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3C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-0.166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00053D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0.308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00053E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2.483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00053F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2.006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0000540" w14:textId="77777777" w:rsidR="00F87988" w:rsidRDefault="00181A76">
            <w:pPr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2.960</w:t>
            </w:r>
          </w:p>
        </w:tc>
      </w:tr>
      <w:tr w:rsidR="00F87988" w14:paraId="09B38AE4" w14:textId="77777777">
        <w:trPr>
          <w:trHeight w:val="324"/>
        </w:trPr>
        <w:tc>
          <w:tcPr>
            <w:tcW w:w="4531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1" w14:textId="77777777" w:rsidR="00F87988" w:rsidRDefault="00181A76">
            <w:pPr>
              <w:spacing w:after="12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ZlnX</w:t>
            </w:r>
            <w:proofErr w:type="spellEnd"/>
          </w:p>
        </w:tc>
        <w:tc>
          <w:tcPr>
            <w:tcW w:w="1560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2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NA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3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NA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4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NA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5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3.253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6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3.079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  <w:shd w:val="clear" w:color="auto" w:fill="auto"/>
            <w:vAlign w:val="bottom"/>
          </w:tcPr>
          <w:p w14:paraId="00000547" w14:textId="77777777" w:rsidR="00F87988" w:rsidRDefault="00181A76">
            <w:pPr>
              <w:spacing w:after="120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3.428</w:t>
            </w:r>
          </w:p>
        </w:tc>
      </w:tr>
    </w:tbl>
    <w:p w14:paraId="00000548" w14:textId="77777777" w:rsidR="00F87988" w:rsidRDefault="00F87988">
      <w:pPr>
        <w:spacing w:line="480" w:lineRule="auto"/>
        <w:rPr>
          <w:rFonts w:ascii="Times" w:eastAsia="Times" w:hAnsi="Times" w:cs="Times"/>
        </w:rPr>
        <w:sectPr w:rsidR="00F87988">
          <w:footerReference w:type="default" r:id="rId8"/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4C90C68C" w14:textId="36F3D0FE" w:rsidR="00F87988" w:rsidRDefault="00F87988" w:rsidP="003E1611">
      <w:pPr>
        <w:spacing w:line="360" w:lineRule="auto"/>
      </w:pPr>
    </w:p>
    <w:sectPr w:rsidR="00F87988" w:rsidSect="003E1611"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3CAB1" w14:textId="77777777" w:rsidR="00C1515C" w:rsidRDefault="00C1515C">
      <w:r>
        <w:separator/>
      </w:r>
    </w:p>
  </w:endnote>
  <w:endnote w:type="continuationSeparator" w:id="0">
    <w:p w14:paraId="58441EB3" w14:textId="77777777" w:rsidR="00C1515C" w:rsidRDefault="00C1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6EA" w14:textId="3C91059B" w:rsidR="00F87988" w:rsidRDefault="00181A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FC3CC2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6EB" w14:textId="77777777" w:rsidR="00F87988" w:rsidRDefault="00F8798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DAAAF" w14:textId="77777777" w:rsidR="00C1515C" w:rsidRDefault="00C1515C">
      <w:r>
        <w:separator/>
      </w:r>
    </w:p>
  </w:footnote>
  <w:footnote w:type="continuationSeparator" w:id="0">
    <w:p w14:paraId="6F2C823E" w14:textId="77777777" w:rsidR="00C1515C" w:rsidRDefault="00C1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9204F"/>
    <w:multiLevelType w:val="multilevel"/>
    <w:tmpl w:val="3D58C69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88"/>
    <w:rsid w:val="00181A76"/>
    <w:rsid w:val="003D2C4E"/>
    <w:rsid w:val="003E1611"/>
    <w:rsid w:val="004F65B4"/>
    <w:rsid w:val="005228A4"/>
    <w:rsid w:val="006D1FA9"/>
    <w:rsid w:val="00771287"/>
    <w:rsid w:val="007C6244"/>
    <w:rsid w:val="00801F0F"/>
    <w:rsid w:val="008D7BD5"/>
    <w:rsid w:val="00910354"/>
    <w:rsid w:val="009C092E"/>
    <w:rsid w:val="00C1515C"/>
    <w:rsid w:val="00D46A7B"/>
    <w:rsid w:val="00DC717B"/>
    <w:rsid w:val="00E72913"/>
    <w:rsid w:val="00F87988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5D9BC"/>
  <w15:docId w15:val="{B51C3E88-DACA-F943-AA3E-FA4DE61E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4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D87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2E6"/>
    <w:pPr>
      <w:spacing w:after="160"/>
    </w:pPr>
    <w:rPr>
      <w:rFonts w:asciiTheme="minorHAnsi" w:eastAsiaTheme="minorEastAsia" w:hAnsiTheme="minorHAnsi" w:cstheme="minorBid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2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2E6"/>
    <w:rPr>
      <w:rFonts w:ascii="Segoe UI" w:eastAsiaTheme="minorEastAsia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3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011B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011B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5011B4"/>
  </w:style>
  <w:style w:type="table" w:styleId="TableGrid">
    <w:name w:val="Table Grid"/>
    <w:basedOn w:val="TableNormal"/>
    <w:uiPriority w:val="39"/>
    <w:rsid w:val="005011B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011B4"/>
  </w:style>
  <w:style w:type="character" w:styleId="PlaceholderText">
    <w:name w:val="Placeholder Text"/>
    <w:basedOn w:val="DefaultParagraphFont"/>
    <w:uiPriority w:val="99"/>
    <w:semiHidden/>
    <w:rsid w:val="002C0D6A"/>
    <w:rPr>
      <w:color w:val="808080"/>
    </w:rPr>
  </w:style>
  <w:style w:type="paragraph" w:customStyle="1" w:styleId="Body">
    <w:name w:val="Body"/>
    <w:rsid w:val="00E032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kern w:val="2"/>
      <w:u w:color="000000"/>
      <w:lang w:val="en-US" w:bidi="bo-CN"/>
    </w:rPr>
  </w:style>
  <w:style w:type="paragraph" w:styleId="NormalWeb">
    <w:name w:val="Normal (Web)"/>
    <w:basedOn w:val="Normal"/>
    <w:uiPriority w:val="99"/>
    <w:unhideWhenUsed/>
    <w:rsid w:val="00543872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1MSWtFB7xaxKISTQeEzD3UyPMw==">AMUW2mVy3HulS80rebVmx+wOoPCiQt3RZjtAUEHL6XhaTS6h7zPUEYPC+92NgF+TG8jdphhFrpqpx+KodKWTOyRNXs+92wPdYQ3rPMnoOqAG9Adt7ZjBW6y6xL/LPswm9ARKS04Z8MnGStJssUVuYxJUb9Ii5j9W3CGf0jwwmDKPYEw2tG6WC2xqRR6Siv2gCLx/hV5z3VQ0aAvi2c87Eq1KOd5BN6FfMDtG4I8nblZMvWD8nrRgkJSPEg2qGzaMLnxiRhSK/A8s3NvkPgHs88BD9PFHTqoqqM5HExXJyD77SLOlJ0ZVf470B6B/LsZ/2kwX41Uvtn1Et57SzIeGx6Q+DnqhD8Kvo8YV9M7dN36TMAjaawVNsDWF+SPhSJPM5GCPsep+3F48fx/s9/mxjY8iTtTi3LgoDcdPBoXzwF/yInpjOGyOdppkB8irEmjaiFGYz0bvgR32gVO/lCPCrTPizfsJeM4rRpNxH03KtwEGG7g0uz3J6YwBrpuCf5WJa/H6M3HC+MozJSrYSyBo2G8N7XBnOSfvN4g8UmPwjLjBjJwra0kGvRe46dyDtg5oATP2+xFgTL3SJ2Qq6ZOqDZtJaqUjOmEcGLcyJ1fFkc7LHiJBNMzZMLVUR7wnbMLdfVejOEesWuckPsmA3n/eEwzFgonRz9zkeGFH8LJUxkmEZFB2v7ot+bkI0zWYUGITLaNV2T6nNYWoTyi2mWeYvOsk8mTWLL8k39x2NvR8joBPKnh44moQTn4fN1RzVR370TsGfjxl54eFx0PfLUm6ImFmTHVZg0ymmJw8Ky+6Q1Mvmi/i1mShSWb63ClUP0VGVWDzyM1VdUuoPyJ8YTbJcCWHLNVyyH6XbQcNSFqbBVUJex7jDBDzhQMpRy28ekrdC/Aszo9j6wVMY3gcDT1m2eplLP4rP+0MCXqCxL4/Y6XGegCtugqZMGtcbZ6DFjMoWaRUBV9gQnKrJhBEveNTnISchg7Ks8hkXkybc969Oc+Uz4mOnwWRdBUMlW7Km4uOtAwcE29HwvT/oklzvks0eFVSjKSu1Tm59G2kEiV93VHxG5YqE1vLM6SSF2y/OcnOxD5VxAEOOZesuafN2pFDQE6atNHJn3ad4uxFOfpqIInd15OGuzeQ97W1ziFaMcdaClbuC1Hqji6nmJEgfQ5AChH7oSjdkJan8MzSuTtD3aypllyKmx5n8ssOF0b/daZmQdLFY5Nkv7tA8PafDlrvvN/Fx7a6ZpTe4B2kcHfgRCeE70BwSqUJdPa9AhXakxyLdE6rQoN10bKgwWnFblnwLp36tnpq+kJJh37YMn/TcgThybPlbPr46M9ynZqHV9er27oV4GGmkPhHgcYo/b7T6n3+0EAWO6HzYkpAaMc/1mvH4lS5E3U1qrAJcFanSTz7Sp662hef6QmbJs2vqBOI7rxMA+BuQruj/O5iVWFWd6WJahEAP+Ky39baXhS8rKkDuKbzUN9GsYBcfqU5gSB3L9dfh4ryVmLZUAw91yHAwTjsxjuyT6eb8GqWKHzEZmANxcbO8/V3aYX5U50UUevOBVZBJgUvFogXK2KKrptxd32BHOP2JLuoq2PlZcnWEwWVgK409qR95iVP5hvd6EosClhDLBYd+mzUUsqfvF1BSeNuU9Di9gD40KgnRxUNWkJC2dSpzlCC9kfVmF1Rdw4rS8YbuMTtQfzbY84usV8tLQHimH6lbvLEy6s2JA5E7uWQav25VOHhzmMypZH6pMkZJRCNHUImU1rFBtea1/sTYDUZKY0OI/ujAdU+nPeW0wvfKksEjQEvHsWyT51S3UHQ4n9rZ3WZ9HtiMqWGw8ZZMApu/B4FPZSP9lhBJTkySXD5oTtA/ivkgmVY39/RAuW/fgjAWvGwJnMV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Takuji</dc:creator>
  <cp:lastModifiedBy>Takuji Usui</cp:lastModifiedBy>
  <cp:revision>3</cp:revision>
  <dcterms:created xsi:type="dcterms:W3CDTF">2021-05-05T23:23:00Z</dcterms:created>
  <dcterms:modified xsi:type="dcterms:W3CDTF">2021-05-06T18:24:00Z</dcterms:modified>
</cp:coreProperties>
</file>