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6D2" w14:textId="77777777" w:rsidR="00F87988" w:rsidRDefault="00181A76">
      <w:pPr>
        <w:spacing w:line="360" w:lineRule="auto"/>
        <w:rPr>
          <w:rFonts w:ascii="Times" w:eastAsia="Times" w:hAnsi="Times" w:cs="Times"/>
        </w:rPr>
      </w:pPr>
      <w:r>
        <w:rPr>
          <w:rFonts w:ascii="Times" w:eastAsia="Times" w:hAnsi="Times" w:cs="Times"/>
          <w:b/>
        </w:rPr>
        <w:t xml:space="preserve">S13 Table. </w:t>
      </w:r>
      <w:r>
        <w:rPr>
          <w:rFonts w:ascii="Times" w:eastAsia="Times" w:hAnsi="Times" w:cs="Times"/>
        </w:rPr>
        <w:t xml:space="preserve">Results from Egger regression (PET-PEESE) on </w:t>
      </w:r>
      <w:proofErr w:type="spellStart"/>
      <w:r>
        <w:rPr>
          <w:rFonts w:ascii="Times" w:eastAsia="Times" w:hAnsi="Times" w:cs="Times"/>
        </w:rPr>
        <w:t>lnRR</w:t>
      </w:r>
      <w:proofErr w:type="spellEnd"/>
      <w:r>
        <w:rPr>
          <w:rFonts w:ascii="Times" w:eastAsia="Times" w:hAnsi="Times" w:cs="Times"/>
        </w:rPr>
        <w:t xml:space="preserve"> to test for publication bias. This procedure fits the square-root of sampling variance as a moderator (slope estimate and 95% credible intervals shown in the first half of the table). If this estimate is significant, we then fit the sampling variance (second half of the table). The intercept from this latter model indicates a ‘potentially’ bias-corrected, modified meta-analytic mean. In our case, the biased-corrected estimate is a 28.0% decline, compared with the original estimate without correction, which is a 29.6% decline. These values indicate that although this analysis detected a sign of publication bias, the effect of this bias is very small (1.6% difference). Bold italicized estimates indicate that the 95% credible intervals do not span zero. </w:t>
      </w:r>
    </w:p>
    <w:p w14:paraId="000006D3" w14:textId="77777777" w:rsidR="00F87988" w:rsidRDefault="00F87988">
      <w:pPr>
        <w:spacing w:line="360" w:lineRule="auto"/>
        <w:rPr>
          <w:rFonts w:ascii="Times" w:eastAsia="Times" w:hAnsi="Times" w:cs="Times"/>
        </w:rPr>
      </w:pPr>
    </w:p>
    <w:tbl>
      <w:tblPr>
        <w:tblStyle w:val="ab"/>
        <w:tblW w:w="8755" w:type="dxa"/>
        <w:tblInd w:w="-5" w:type="dxa"/>
        <w:tblLayout w:type="fixed"/>
        <w:tblLook w:val="0400" w:firstRow="0" w:lastRow="0" w:firstColumn="0" w:lastColumn="0" w:noHBand="0" w:noVBand="1"/>
      </w:tblPr>
      <w:tblGrid>
        <w:gridCol w:w="4883"/>
        <w:gridCol w:w="1178"/>
        <w:gridCol w:w="1361"/>
        <w:gridCol w:w="1333"/>
      </w:tblGrid>
      <w:tr w:rsidR="00F87988" w14:paraId="7870F653" w14:textId="77777777">
        <w:trPr>
          <w:trHeight w:val="320"/>
        </w:trPr>
        <w:tc>
          <w:tcPr>
            <w:tcW w:w="4883" w:type="dxa"/>
            <w:tcBorders>
              <w:top w:val="single" w:sz="18" w:space="0" w:color="000000"/>
              <w:bottom w:val="single" w:sz="8" w:space="0" w:color="000000"/>
            </w:tcBorders>
            <w:shd w:val="clear" w:color="auto" w:fill="auto"/>
            <w:vAlign w:val="bottom"/>
          </w:tcPr>
          <w:p w14:paraId="000006D4" w14:textId="77777777" w:rsidR="00F87988" w:rsidRDefault="00181A76">
            <w:pPr>
              <w:spacing w:before="120" w:line="480" w:lineRule="auto"/>
              <w:rPr>
                <w:rFonts w:ascii="Times" w:eastAsia="Times" w:hAnsi="Times" w:cs="Times"/>
                <w:b/>
              </w:rPr>
            </w:pPr>
            <w:r>
              <w:rPr>
                <w:rFonts w:ascii="Times" w:eastAsia="Times" w:hAnsi="Times" w:cs="Times"/>
                <w:b/>
              </w:rPr>
              <w:t>Parameter</w:t>
            </w:r>
          </w:p>
        </w:tc>
        <w:tc>
          <w:tcPr>
            <w:tcW w:w="1178" w:type="dxa"/>
            <w:tcBorders>
              <w:top w:val="single" w:sz="18" w:space="0" w:color="000000"/>
              <w:bottom w:val="single" w:sz="8" w:space="0" w:color="000000"/>
            </w:tcBorders>
            <w:shd w:val="clear" w:color="auto" w:fill="auto"/>
            <w:vAlign w:val="bottom"/>
          </w:tcPr>
          <w:p w14:paraId="000006D5" w14:textId="77777777" w:rsidR="00F87988" w:rsidRDefault="00181A76">
            <w:pPr>
              <w:spacing w:before="120" w:line="480" w:lineRule="auto"/>
              <w:jc w:val="right"/>
              <w:rPr>
                <w:rFonts w:ascii="Times" w:eastAsia="Times" w:hAnsi="Times" w:cs="Times"/>
                <w:b/>
                <w:color w:val="000000"/>
              </w:rPr>
            </w:pPr>
            <w:proofErr w:type="spellStart"/>
            <w:r>
              <w:rPr>
                <w:rFonts w:ascii="Times" w:eastAsia="Times" w:hAnsi="Times" w:cs="Times"/>
                <w:b/>
                <w:color w:val="000000"/>
              </w:rPr>
              <w:t>lnRR</w:t>
            </w:r>
            <w:proofErr w:type="spellEnd"/>
            <m:oMath>
              <m:r>
                <w:rPr>
                  <w:rFonts w:ascii="Cambria Math" w:eastAsia="Cambria Math" w:hAnsi="Cambria Math" w:cs="Cambria Math"/>
                  <w:color w:val="000000"/>
                </w:rPr>
                <m:t xml:space="preserve"> (β)</m:t>
              </m:r>
            </m:oMath>
          </w:p>
        </w:tc>
        <w:tc>
          <w:tcPr>
            <w:tcW w:w="1361" w:type="dxa"/>
            <w:tcBorders>
              <w:top w:val="single" w:sz="18" w:space="0" w:color="000000"/>
              <w:bottom w:val="single" w:sz="8" w:space="0" w:color="000000"/>
            </w:tcBorders>
            <w:shd w:val="clear" w:color="auto" w:fill="auto"/>
            <w:vAlign w:val="bottom"/>
          </w:tcPr>
          <w:p w14:paraId="000006D6" w14:textId="77777777" w:rsidR="00F87988" w:rsidRDefault="00181A76">
            <w:pPr>
              <w:spacing w:before="120" w:line="480" w:lineRule="auto"/>
              <w:jc w:val="right"/>
              <w:rPr>
                <w:rFonts w:ascii="Times" w:eastAsia="Times" w:hAnsi="Times" w:cs="Times"/>
                <w:b/>
                <w:color w:val="000000"/>
              </w:rPr>
            </w:pPr>
            <w:r>
              <w:rPr>
                <w:rFonts w:ascii="Times" w:eastAsia="Times" w:hAnsi="Times" w:cs="Times"/>
                <w:b/>
                <w:color w:val="000000"/>
              </w:rPr>
              <w:t>LCI</w:t>
            </w:r>
          </w:p>
        </w:tc>
        <w:tc>
          <w:tcPr>
            <w:tcW w:w="1333" w:type="dxa"/>
            <w:tcBorders>
              <w:top w:val="single" w:sz="18" w:space="0" w:color="000000"/>
              <w:bottom w:val="single" w:sz="8" w:space="0" w:color="000000"/>
            </w:tcBorders>
            <w:shd w:val="clear" w:color="auto" w:fill="auto"/>
            <w:vAlign w:val="bottom"/>
          </w:tcPr>
          <w:p w14:paraId="000006D7" w14:textId="77777777" w:rsidR="00F87988" w:rsidRDefault="00181A76">
            <w:pPr>
              <w:spacing w:before="120" w:line="480" w:lineRule="auto"/>
              <w:jc w:val="right"/>
              <w:rPr>
                <w:rFonts w:ascii="Times" w:eastAsia="Times" w:hAnsi="Times" w:cs="Times"/>
                <w:b/>
                <w:color w:val="000000"/>
              </w:rPr>
            </w:pPr>
            <w:r>
              <w:rPr>
                <w:rFonts w:ascii="Times" w:eastAsia="Times" w:hAnsi="Times" w:cs="Times"/>
                <w:b/>
                <w:color w:val="000000"/>
              </w:rPr>
              <w:t>UCI</w:t>
            </w:r>
          </w:p>
        </w:tc>
      </w:tr>
      <w:tr w:rsidR="00F87988" w14:paraId="20A6B674" w14:textId="77777777">
        <w:trPr>
          <w:trHeight w:val="320"/>
        </w:trPr>
        <w:tc>
          <w:tcPr>
            <w:tcW w:w="4883" w:type="dxa"/>
            <w:tcBorders>
              <w:top w:val="single" w:sz="8" w:space="0" w:color="000000"/>
            </w:tcBorders>
            <w:shd w:val="clear" w:color="auto" w:fill="auto"/>
            <w:vAlign w:val="bottom"/>
          </w:tcPr>
          <w:p w14:paraId="000006D8" w14:textId="77777777" w:rsidR="00F87988" w:rsidRDefault="00181A76">
            <w:pPr>
              <w:spacing w:before="120"/>
              <w:rPr>
                <w:rFonts w:ascii="Times" w:eastAsia="Times" w:hAnsi="Times" w:cs="Times"/>
                <w:b/>
                <w:i/>
                <w:color w:val="000000"/>
              </w:rPr>
            </w:pPr>
            <w:r>
              <w:rPr>
                <w:rFonts w:ascii="Times" w:eastAsia="Times" w:hAnsi="Times" w:cs="Times"/>
                <w:b/>
                <w:i/>
                <w:color w:val="000000"/>
              </w:rPr>
              <w:t>Intercept</w:t>
            </w:r>
          </w:p>
        </w:tc>
        <w:tc>
          <w:tcPr>
            <w:tcW w:w="1178" w:type="dxa"/>
            <w:tcBorders>
              <w:top w:val="single" w:sz="8" w:space="0" w:color="000000"/>
            </w:tcBorders>
            <w:shd w:val="clear" w:color="auto" w:fill="auto"/>
            <w:vAlign w:val="bottom"/>
          </w:tcPr>
          <w:p w14:paraId="000006D9" w14:textId="77777777" w:rsidR="00F87988" w:rsidRDefault="00181A76">
            <w:pPr>
              <w:spacing w:before="120"/>
              <w:jc w:val="right"/>
              <w:rPr>
                <w:rFonts w:ascii="Times" w:eastAsia="Times" w:hAnsi="Times" w:cs="Times"/>
                <w:b/>
                <w:i/>
                <w:color w:val="000000"/>
              </w:rPr>
            </w:pPr>
            <w:r>
              <w:rPr>
                <w:rFonts w:ascii="Times" w:eastAsia="Times" w:hAnsi="Times" w:cs="Times"/>
                <w:b/>
                <w:i/>
                <w:color w:val="000000"/>
              </w:rPr>
              <w:t>-0.1525</w:t>
            </w:r>
          </w:p>
        </w:tc>
        <w:tc>
          <w:tcPr>
            <w:tcW w:w="1361" w:type="dxa"/>
            <w:tcBorders>
              <w:top w:val="single" w:sz="8" w:space="0" w:color="000000"/>
            </w:tcBorders>
            <w:shd w:val="clear" w:color="auto" w:fill="auto"/>
            <w:vAlign w:val="bottom"/>
          </w:tcPr>
          <w:p w14:paraId="000006DA" w14:textId="77777777" w:rsidR="00F87988" w:rsidRDefault="00181A76">
            <w:pPr>
              <w:spacing w:before="120"/>
              <w:jc w:val="right"/>
              <w:rPr>
                <w:rFonts w:ascii="Times" w:eastAsia="Times" w:hAnsi="Times" w:cs="Times"/>
                <w:b/>
                <w:i/>
                <w:color w:val="000000"/>
              </w:rPr>
            </w:pPr>
            <w:r>
              <w:rPr>
                <w:rFonts w:ascii="Times" w:eastAsia="Times" w:hAnsi="Times" w:cs="Times"/>
                <w:b/>
                <w:i/>
                <w:color w:val="000000"/>
              </w:rPr>
              <w:t>-0.2102</w:t>
            </w:r>
          </w:p>
        </w:tc>
        <w:tc>
          <w:tcPr>
            <w:tcW w:w="1333" w:type="dxa"/>
            <w:tcBorders>
              <w:top w:val="single" w:sz="8" w:space="0" w:color="000000"/>
            </w:tcBorders>
            <w:shd w:val="clear" w:color="auto" w:fill="auto"/>
            <w:vAlign w:val="bottom"/>
          </w:tcPr>
          <w:p w14:paraId="000006DB" w14:textId="77777777" w:rsidR="00F87988" w:rsidRDefault="00181A76">
            <w:pPr>
              <w:spacing w:before="120"/>
              <w:jc w:val="right"/>
              <w:rPr>
                <w:rFonts w:ascii="Times" w:eastAsia="Times" w:hAnsi="Times" w:cs="Times"/>
                <w:b/>
                <w:i/>
                <w:color w:val="000000"/>
              </w:rPr>
            </w:pPr>
            <w:r>
              <w:rPr>
                <w:rFonts w:ascii="Times" w:eastAsia="Times" w:hAnsi="Times" w:cs="Times"/>
                <w:b/>
                <w:i/>
                <w:color w:val="000000"/>
              </w:rPr>
              <w:t>-0.0949</w:t>
            </w:r>
          </w:p>
        </w:tc>
      </w:tr>
      <w:tr w:rsidR="00F87988" w14:paraId="36B253FC" w14:textId="77777777">
        <w:trPr>
          <w:trHeight w:val="320"/>
        </w:trPr>
        <w:tc>
          <w:tcPr>
            <w:tcW w:w="4883" w:type="dxa"/>
            <w:tcBorders>
              <w:bottom w:val="single" w:sz="4" w:space="0" w:color="000000"/>
            </w:tcBorders>
            <w:shd w:val="clear" w:color="auto" w:fill="auto"/>
            <w:vAlign w:val="bottom"/>
          </w:tcPr>
          <w:p w14:paraId="000006DC" w14:textId="77777777" w:rsidR="00F87988" w:rsidRDefault="00181A76">
            <w:pPr>
              <w:spacing w:after="120"/>
              <w:rPr>
                <w:rFonts w:ascii="Times" w:eastAsia="Times" w:hAnsi="Times" w:cs="Times"/>
                <w:b/>
                <w:color w:val="000000"/>
              </w:rPr>
            </w:pPr>
            <w:proofErr w:type="gramStart"/>
            <w:r>
              <w:rPr>
                <w:rFonts w:ascii="Times" w:eastAsia="Times" w:hAnsi="Times" w:cs="Times"/>
                <w:b/>
                <w:color w:val="000000"/>
              </w:rPr>
              <w:t>sqrt(</w:t>
            </w:r>
            <w:proofErr w:type="gramEnd"/>
            <w:r>
              <w:rPr>
                <w:rFonts w:ascii="Times" w:eastAsia="Times" w:hAnsi="Times" w:cs="Times"/>
                <w:b/>
                <w:color w:val="000000"/>
              </w:rPr>
              <w:t>sampling variance)</w:t>
            </w:r>
          </w:p>
        </w:tc>
        <w:tc>
          <w:tcPr>
            <w:tcW w:w="1178" w:type="dxa"/>
            <w:tcBorders>
              <w:bottom w:val="single" w:sz="4" w:space="0" w:color="000000"/>
            </w:tcBorders>
            <w:shd w:val="clear" w:color="auto" w:fill="auto"/>
            <w:vAlign w:val="bottom"/>
          </w:tcPr>
          <w:p w14:paraId="000006DD"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-1.5185</w:t>
            </w:r>
          </w:p>
        </w:tc>
        <w:tc>
          <w:tcPr>
            <w:tcW w:w="1361" w:type="dxa"/>
            <w:tcBorders>
              <w:bottom w:val="single" w:sz="4" w:space="0" w:color="000000"/>
            </w:tcBorders>
            <w:shd w:val="clear" w:color="auto" w:fill="auto"/>
            <w:vAlign w:val="bottom"/>
          </w:tcPr>
          <w:p w14:paraId="000006DE"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-1.7131</w:t>
            </w:r>
          </w:p>
        </w:tc>
        <w:tc>
          <w:tcPr>
            <w:tcW w:w="1333" w:type="dxa"/>
            <w:tcBorders>
              <w:bottom w:val="single" w:sz="4" w:space="0" w:color="000000"/>
            </w:tcBorders>
            <w:shd w:val="clear" w:color="auto" w:fill="auto"/>
            <w:vAlign w:val="bottom"/>
          </w:tcPr>
          <w:p w14:paraId="000006DF"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-1.3239</w:t>
            </w:r>
          </w:p>
        </w:tc>
      </w:tr>
      <w:tr w:rsidR="00F87988" w14:paraId="724CCE33" w14:textId="77777777">
        <w:trPr>
          <w:trHeight w:val="320"/>
        </w:trPr>
        <w:tc>
          <w:tcPr>
            <w:tcW w:w="4883" w:type="dxa"/>
            <w:tcBorders>
              <w:top w:val="single" w:sz="4" w:space="0" w:color="000000"/>
            </w:tcBorders>
            <w:shd w:val="clear" w:color="auto" w:fill="auto"/>
            <w:vAlign w:val="bottom"/>
          </w:tcPr>
          <w:p w14:paraId="000006E0" w14:textId="77777777" w:rsidR="00F87988" w:rsidRDefault="00181A76">
            <w:pPr>
              <w:rPr>
                <w:rFonts w:ascii="Times" w:eastAsia="Times" w:hAnsi="Times" w:cs="Times"/>
                <w:color w:val="000000"/>
              </w:rPr>
            </w:pPr>
            <w:r>
              <w:rPr>
                <w:rFonts w:ascii="Times" w:eastAsia="Times" w:hAnsi="Times" w:cs="Times"/>
                <w:b/>
                <w:i/>
                <w:color w:val="000000"/>
              </w:rPr>
              <w:t>Intercept</w:t>
            </w:r>
          </w:p>
        </w:tc>
        <w:tc>
          <w:tcPr>
            <w:tcW w:w="1178" w:type="dxa"/>
            <w:tcBorders>
              <w:top w:val="single" w:sz="4" w:space="0" w:color="000000"/>
            </w:tcBorders>
            <w:shd w:val="clear" w:color="auto" w:fill="auto"/>
            <w:vAlign w:val="bottom"/>
          </w:tcPr>
          <w:p w14:paraId="000006E1" w14:textId="77777777" w:rsidR="00F87988" w:rsidRDefault="00181A76">
            <w:pPr>
              <w:jc w:val="right"/>
              <w:rPr>
                <w:rFonts w:ascii="Times" w:eastAsia="Times" w:hAnsi="Times" w:cs="Times"/>
                <w:b/>
                <w:i/>
                <w:color w:val="000000"/>
              </w:rPr>
            </w:pPr>
            <w:r>
              <w:rPr>
                <w:rFonts w:ascii="Times" w:eastAsia="Times" w:hAnsi="Times" w:cs="Times"/>
                <w:b/>
                <w:i/>
                <w:color w:val="000000"/>
              </w:rPr>
              <w:t>-0.3285</w:t>
            </w:r>
          </w:p>
        </w:tc>
        <w:tc>
          <w:tcPr>
            <w:tcW w:w="1361" w:type="dxa"/>
            <w:tcBorders>
              <w:top w:val="single" w:sz="4" w:space="0" w:color="000000"/>
            </w:tcBorders>
            <w:shd w:val="clear" w:color="auto" w:fill="auto"/>
            <w:vAlign w:val="bottom"/>
          </w:tcPr>
          <w:p w14:paraId="000006E2" w14:textId="77777777" w:rsidR="00F87988" w:rsidRDefault="00181A76">
            <w:pPr>
              <w:jc w:val="right"/>
              <w:rPr>
                <w:rFonts w:ascii="Times" w:eastAsia="Times" w:hAnsi="Times" w:cs="Times"/>
                <w:b/>
                <w:i/>
                <w:color w:val="000000"/>
              </w:rPr>
            </w:pPr>
            <w:r>
              <w:rPr>
                <w:rFonts w:ascii="Times" w:eastAsia="Times" w:hAnsi="Times" w:cs="Times"/>
                <w:b/>
                <w:i/>
                <w:color w:val="000000"/>
              </w:rPr>
              <w:t>-0.3813</w:t>
            </w:r>
          </w:p>
        </w:tc>
        <w:tc>
          <w:tcPr>
            <w:tcW w:w="1333" w:type="dxa"/>
            <w:tcBorders>
              <w:top w:val="single" w:sz="4" w:space="0" w:color="000000"/>
            </w:tcBorders>
            <w:shd w:val="clear" w:color="auto" w:fill="auto"/>
            <w:vAlign w:val="bottom"/>
          </w:tcPr>
          <w:p w14:paraId="000006E3" w14:textId="77777777" w:rsidR="00F87988" w:rsidRDefault="00181A76">
            <w:pPr>
              <w:jc w:val="right"/>
              <w:rPr>
                <w:rFonts w:ascii="Times" w:eastAsia="Times" w:hAnsi="Times" w:cs="Times"/>
                <w:b/>
                <w:i/>
                <w:color w:val="000000"/>
              </w:rPr>
            </w:pPr>
            <w:r>
              <w:rPr>
                <w:rFonts w:ascii="Times" w:eastAsia="Times" w:hAnsi="Times" w:cs="Times"/>
                <w:b/>
                <w:i/>
                <w:color w:val="000000"/>
              </w:rPr>
              <w:t>-0.2757</w:t>
            </w:r>
          </w:p>
        </w:tc>
      </w:tr>
      <w:tr w:rsidR="00F87988" w14:paraId="078F6AB3" w14:textId="77777777">
        <w:trPr>
          <w:trHeight w:val="320"/>
        </w:trPr>
        <w:tc>
          <w:tcPr>
            <w:tcW w:w="4883" w:type="dxa"/>
            <w:tcBorders>
              <w:bottom w:val="single" w:sz="18" w:space="0" w:color="000000"/>
            </w:tcBorders>
            <w:shd w:val="clear" w:color="auto" w:fill="auto"/>
            <w:vAlign w:val="bottom"/>
          </w:tcPr>
          <w:p w14:paraId="000006E4" w14:textId="77777777" w:rsidR="00F87988" w:rsidRDefault="00181A76">
            <w:pPr>
              <w:spacing w:after="120"/>
              <w:rPr>
                <w:rFonts w:ascii="Times" w:eastAsia="Times" w:hAnsi="Times" w:cs="Times"/>
                <w:b/>
                <w:i/>
                <w:color w:val="000000"/>
              </w:rPr>
            </w:pPr>
            <w:r>
              <w:rPr>
                <w:rFonts w:ascii="Times" w:eastAsia="Times" w:hAnsi="Times" w:cs="Times"/>
                <w:b/>
                <w:i/>
                <w:color w:val="000000"/>
              </w:rPr>
              <w:t>sampling variance</w:t>
            </w:r>
          </w:p>
        </w:tc>
        <w:tc>
          <w:tcPr>
            <w:tcW w:w="1178" w:type="dxa"/>
            <w:tcBorders>
              <w:bottom w:val="single" w:sz="18" w:space="0" w:color="000000"/>
            </w:tcBorders>
            <w:shd w:val="clear" w:color="auto" w:fill="auto"/>
            <w:vAlign w:val="bottom"/>
          </w:tcPr>
          <w:p w14:paraId="000006E5"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-1.8964</w:t>
            </w:r>
          </w:p>
        </w:tc>
        <w:tc>
          <w:tcPr>
            <w:tcW w:w="1361" w:type="dxa"/>
            <w:tcBorders>
              <w:bottom w:val="single" w:sz="18" w:space="0" w:color="000000"/>
            </w:tcBorders>
            <w:shd w:val="clear" w:color="auto" w:fill="auto"/>
            <w:vAlign w:val="bottom"/>
          </w:tcPr>
          <w:p w14:paraId="000006E6"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-2.2141</w:t>
            </w:r>
          </w:p>
        </w:tc>
        <w:tc>
          <w:tcPr>
            <w:tcW w:w="1333" w:type="dxa"/>
            <w:tcBorders>
              <w:bottom w:val="single" w:sz="18" w:space="0" w:color="000000"/>
            </w:tcBorders>
            <w:shd w:val="clear" w:color="auto" w:fill="auto"/>
            <w:vAlign w:val="bottom"/>
          </w:tcPr>
          <w:p w14:paraId="000006E7"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-1.5787</w:t>
            </w:r>
          </w:p>
        </w:tc>
      </w:tr>
    </w:tbl>
    <w:p w14:paraId="1D54A50E" w14:textId="42280DF3" w:rsidR="00F87988" w:rsidRPr="009B4563" w:rsidRDefault="00F87988" w:rsidP="009B4563">
      <w:pPr>
        <w:spacing w:line="360" w:lineRule="auto"/>
        <w:rPr>
          <w:rFonts w:ascii="Times" w:eastAsia="Times" w:hAnsi="Times" w:cs="Times"/>
        </w:rPr>
      </w:pPr>
    </w:p>
    <w:sectPr w:rsidR="00F87988" w:rsidRPr="009B4563" w:rsidSect="009B4563">
      <w:footerReference w:type="default" r:id="rId9"/>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3E3F" w14:textId="77777777" w:rsidR="00CC11AA" w:rsidRDefault="00CC11AA">
      <w:r>
        <w:separator/>
      </w:r>
    </w:p>
  </w:endnote>
  <w:endnote w:type="continuationSeparator" w:id="0">
    <w:p w14:paraId="2A7E995B" w14:textId="77777777" w:rsidR="00CC11AA" w:rsidRDefault="00CC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EA" w14:textId="3C91059B" w:rsidR="00F87988" w:rsidRDefault="00181A76">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C3CC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6EB" w14:textId="77777777" w:rsidR="00F87988" w:rsidRDefault="00F87988">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BDCE" w14:textId="77777777" w:rsidR="00CC11AA" w:rsidRDefault="00CC11AA">
      <w:r>
        <w:separator/>
      </w:r>
    </w:p>
  </w:footnote>
  <w:footnote w:type="continuationSeparator" w:id="0">
    <w:p w14:paraId="477AC5AA" w14:textId="77777777" w:rsidR="00CC11AA" w:rsidRDefault="00CC1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9204F"/>
    <w:multiLevelType w:val="multilevel"/>
    <w:tmpl w:val="3D58C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88"/>
    <w:rsid w:val="00181A76"/>
    <w:rsid w:val="003D2C4E"/>
    <w:rsid w:val="0041450B"/>
    <w:rsid w:val="004F65B4"/>
    <w:rsid w:val="005228A4"/>
    <w:rsid w:val="0062546E"/>
    <w:rsid w:val="006D1FA9"/>
    <w:rsid w:val="00771287"/>
    <w:rsid w:val="007C6244"/>
    <w:rsid w:val="00801F0F"/>
    <w:rsid w:val="00910354"/>
    <w:rsid w:val="009B4563"/>
    <w:rsid w:val="009C092E"/>
    <w:rsid w:val="00C71BF2"/>
    <w:rsid w:val="00CC11AA"/>
    <w:rsid w:val="00D46A7B"/>
    <w:rsid w:val="00D83B9C"/>
    <w:rsid w:val="00DC717B"/>
    <w:rsid w:val="00E72913"/>
    <w:rsid w:val="00F87988"/>
    <w:rsid w:val="00FC3C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E5D9BC"/>
  <w15:docId w15:val="{B51C3E88-DACA-F943-AA3E-FA4DE61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4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D872E6"/>
    <w:rPr>
      <w:sz w:val="16"/>
      <w:szCs w:val="16"/>
    </w:rPr>
  </w:style>
  <w:style w:type="paragraph" w:styleId="CommentText">
    <w:name w:val="annotation text"/>
    <w:basedOn w:val="Normal"/>
    <w:link w:val="CommentTextChar"/>
    <w:uiPriority w:val="99"/>
    <w:unhideWhenUsed/>
    <w:rsid w:val="00D872E6"/>
    <w:pPr>
      <w:spacing w:after="160"/>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rsid w:val="00D872E6"/>
    <w:rPr>
      <w:sz w:val="20"/>
      <w:szCs w:val="20"/>
    </w:rPr>
  </w:style>
  <w:style w:type="paragraph" w:styleId="BalloonText">
    <w:name w:val="Balloon Text"/>
    <w:basedOn w:val="Normal"/>
    <w:link w:val="BalloonTextChar"/>
    <w:uiPriority w:val="99"/>
    <w:semiHidden/>
    <w:unhideWhenUsed/>
    <w:rsid w:val="00D872E6"/>
    <w:rPr>
      <w:rFonts w:ascii="Segoe UI" w:eastAsiaTheme="minorEastAsia" w:hAnsi="Segoe UI" w:cs="Segoe UI"/>
      <w:sz w:val="18"/>
      <w:szCs w:val="18"/>
      <w:lang w:val="en-AU"/>
    </w:rPr>
  </w:style>
  <w:style w:type="character" w:customStyle="1" w:styleId="BalloonTextChar">
    <w:name w:val="Balloon Text Char"/>
    <w:basedOn w:val="DefaultParagraphFont"/>
    <w:link w:val="BalloonText"/>
    <w:uiPriority w:val="99"/>
    <w:semiHidden/>
    <w:rsid w:val="00D872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b/>
      <w:bCs/>
      <w:sz w:val="20"/>
      <w:szCs w:val="20"/>
    </w:rPr>
  </w:style>
  <w:style w:type="paragraph" w:styleId="ListParagraph">
    <w:name w:val="List Paragraph"/>
    <w:basedOn w:val="Normal"/>
    <w:uiPriority w:val="34"/>
    <w:qFormat/>
    <w:rsid w:val="005011B4"/>
    <w:pPr>
      <w:spacing w:after="160" w:line="259" w:lineRule="auto"/>
      <w:ind w:left="720"/>
      <w:contextualSpacing/>
    </w:pPr>
    <w:rPr>
      <w:rFonts w:asciiTheme="minorHAnsi" w:eastAsiaTheme="minorEastAsia" w:hAnsiTheme="minorHAnsi" w:cstheme="minorBidi"/>
      <w:sz w:val="22"/>
      <w:szCs w:val="22"/>
      <w:lang w:val="en-AU"/>
    </w:rPr>
  </w:style>
  <w:style w:type="paragraph" w:styleId="Footer">
    <w:name w:val="footer"/>
    <w:basedOn w:val="Normal"/>
    <w:link w:val="FooterChar"/>
    <w:uiPriority w:val="99"/>
    <w:unhideWhenUsed/>
    <w:rsid w:val="005011B4"/>
    <w:pPr>
      <w:tabs>
        <w:tab w:val="center" w:pos="4513"/>
        <w:tab w:val="right" w:pos="9026"/>
      </w:tabs>
    </w:pPr>
    <w:rPr>
      <w:rFonts w:asciiTheme="minorHAnsi" w:eastAsiaTheme="minorEastAsia" w:hAnsiTheme="minorHAnsi" w:cstheme="minorBidi"/>
      <w:sz w:val="22"/>
      <w:szCs w:val="22"/>
      <w:lang w:val="en-AU"/>
    </w:rPr>
  </w:style>
  <w:style w:type="character" w:customStyle="1" w:styleId="FooterChar">
    <w:name w:val="Footer Char"/>
    <w:basedOn w:val="DefaultParagraphFont"/>
    <w:link w:val="Footer"/>
    <w:uiPriority w:val="99"/>
    <w:rsid w:val="005011B4"/>
  </w:style>
  <w:style w:type="table" w:styleId="TableGrid">
    <w:name w:val="Table Grid"/>
    <w:basedOn w:val="TableNormal"/>
    <w:uiPriority w:val="39"/>
    <w:rsid w:val="005011B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011B4"/>
  </w:style>
  <w:style w:type="character" w:styleId="PlaceholderText">
    <w:name w:val="Placeholder Text"/>
    <w:basedOn w:val="DefaultParagraphFont"/>
    <w:uiPriority w:val="99"/>
    <w:semiHidden/>
    <w:rsid w:val="002C0D6A"/>
    <w:rPr>
      <w:color w:val="808080"/>
    </w:rPr>
  </w:style>
  <w:style w:type="paragraph" w:customStyle="1" w:styleId="Body">
    <w:name w:val="Body"/>
    <w:rsid w:val="00E0320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kern w:val="2"/>
      <w:u w:color="000000"/>
      <w:lang w:val="en-US" w:bidi="bo-CN"/>
    </w:rPr>
  </w:style>
  <w:style w:type="paragraph" w:styleId="NormalWeb">
    <w:name w:val="Normal (Web)"/>
    <w:basedOn w:val="Normal"/>
    <w:uiPriority w:val="99"/>
    <w:unhideWhenUsed/>
    <w:rsid w:val="00543872"/>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1MSWtFB7xaxKISTQeEzD3UyPMw==">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FD2AF4-E78A-9B4E-8A47-16F925CF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Takuji</dc:creator>
  <cp:lastModifiedBy>Takuji Usui</cp:lastModifiedBy>
  <cp:revision>3</cp:revision>
  <dcterms:created xsi:type="dcterms:W3CDTF">2021-05-05T23:24:00Z</dcterms:created>
  <dcterms:modified xsi:type="dcterms:W3CDTF">2021-05-05T23:25:00Z</dcterms:modified>
</cp:coreProperties>
</file>