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E7F3" w14:textId="77777777" w:rsidR="00804390" w:rsidRPr="00286379" w:rsidRDefault="001106BE" w:rsidP="005B1B4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76C2807C" wp14:editId="1EC80A03">
            <wp:extent cx="2115185" cy="770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4390">
        <w:rPr>
          <w:noProof/>
          <w:lang w:val="en-US"/>
        </w:rPr>
        <w:br/>
      </w:r>
      <w:r w:rsidR="00804390" w:rsidRPr="00286379">
        <w:rPr>
          <w:rFonts w:ascii="Arial" w:hAnsi="Arial" w:cs="Arial"/>
          <w:b/>
          <w:sz w:val="24"/>
          <w:szCs w:val="24"/>
        </w:rPr>
        <w:t>Statistical Working Group</w:t>
      </w:r>
      <w:r w:rsidR="00804390" w:rsidRPr="00286379">
        <w:rPr>
          <w:rFonts w:ascii="Arial" w:hAnsi="Arial" w:cs="Arial"/>
          <w:b/>
          <w:sz w:val="24"/>
          <w:szCs w:val="24"/>
        </w:rPr>
        <w:br/>
      </w:r>
      <w:r w:rsidR="00804390" w:rsidRPr="00286379">
        <w:rPr>
          <w:rFonts w:ascii="Arial" w:hAnsi="Arial" w:cs="Arial"/>
          <w:b/>
          <w:sz w:val="20"/>
          <w:szCs w:val="20"/>
        </w:rPr>
        <w:t>Statistical Guidelines</w:t>
      </w:r>
    </w:p>
    <w:p w14:paraId="197B1FAF" w14:textId="77777777" w:rsidR="00804390" w:rsidRDefault="00804390" w:rsidP="005B1B4C">
      <w:pPr>
        <w:tabs>
          <w:tab w:val="decimal" w:leader="underscore" w:pos="90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14:paraId="237B3E37" w14:textId="35003BFF" w:rsidR="00804390" w:rsidRPr="00286379" w:rsidRDefault="00804390" w:rsidP="005B1B4C">
      <w:pPr>
        <w:jc w:val="center"/>
        <w:rPr>
          <w:rFonts w:ascii="Arial" w:hAnsi="Arial" w:cs="Arial"/>
          <w:b/>
          <w:sz w:val="28"/>
          <w:szCs w:val="28"/>
        </w:rPr>
      </w:pPr>
      <w:r w:rsidRPr="00286379">
        <w:rPr>
          <w:rFonts w:ascii="Arial" w:hAnsi="Arial" w:cs="Arial"/>
          <w:b/>
          <w:sz w:val="28"/>
          <w:szCs w:val="28"/>
        </w:rPr>
        <w:t>CL_</w:t>
      </w:r>
      <w:r w:rsidR="007261A5">
        <w:rPr>
          <w:rFonts w:ascii="Arial" w:hAnsi="Arial" w:cs="Arial"/>
          <w:b/>
          <w:sz w:val="28"/>
          <w:szCs w:val="28"/>
        </w:rPr>
        <w:t>RELIABILITY</w:t>
      </w:r>
      <w:r w:rsidR="00CC6A99">
        <w:rPr>
          <w:rFonts w:ascii="Arial" w:hAnsi="Arial" w:cs="Arial"/>
          <w:b/>
          <w:sz w:val="28"/>
          <w:szCs w:val="28"/>
        </w:rPr>
        <w:t xml:space="preserve"> </w:t>
      </w:r>
      <w:r w:rsidRPr="00286379">
        <w:rPr>
          <w:rFonts w:ascii="Arial" w:hAnsi="Arial" w:cs="Arial"/>
          <w:b/>
          <w:sz w:val="28"/>
          <w:szCs w:val="28"/>
        </w:rPr>
        <w:t xml:space="preserve">Code list for </w:t>
      </w:r>
      <w:r w:rsidR="007261A5">
        <w:rPr>
          <w:rFonts w:ascii="Arial" w:hAnsi="Arial" w:cs="Arial"/>
          <w:b/>
          <w:sz w:val="28"/>
          <w:szCs w:val="28"/>
        </w:rPr>
        <w:t xml:space="preserve">Data </w:t>
      </w:r>
      <w:r w:rsidR="00CC6A99">
        <w:rPr>
          <w:rFonts w:ascii="Arial" w:hAnsi="Arial" w:cs="Arial"/>
          <w:b/>
          <w:sz w:val="28"/>
          <w:szCs w:val="28"/>
        </w:rPr>
        <w:t>Reliability</w:t>
      </w:r>
    </w:p>
    <w:p w14:paraId="4A0E7BF4" w14:textId="48581621" w:rsidR="00804390" w:rsidRPr="00286379" w:rsidRDefault="00804390" w:rsidP="005B1B4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286379">
        <w:rPr>
          <w:rFonts w:ascii="Arial" w:hAnsi="Arial" w:cs="Arial"/>
          <w:b/>
          <w:sz w:val="28"/>
          <w:szCs w:val="28"/>
        </w:rPr>
        <w:t>Version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261A5">
        <w:rPr>
          <w:rFonts w:ascii="Arial" w:hAnsi="Arial" w:cs="Arial"/>
          <w:b/>
          <w:sz w:val="28"/>
          <w:szCs w:val="28"/>
        </w:rPr>
        <w:t>1.0</w:t>
      </w:r>
    </w:p>
    <w:p w14:paraId="28B60D6B" w14:textId="77777777" w:rsidR="00804390" w:rsidRDefault="00804390" w:rsidP="005B1B4C">
      <w:pPr>
        <w:tabs>
          <w:tab w:val="decimal" w:leader="underscore" w:pos="90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14:paraId="6B2D8A2D" w14:textId="4B568025" w:rsidR="00804390" w:rsidRPr="00D9194C" w:rsidRDefault="00804390" w:rsidP="00722C65">
      <w:pPr>
        <w:pStyle w:val="Heading4"/>
        <w:spacing w:before="720" w:after="360"/>
        <w:rPr>
          <w:rFonts w:ascii="Arial" w:hAnsi="Arial" w:cs="Arial"/>
          <w:color w:val="3399FF"/>
          <w:sz w:val="28"/>
          <w:szCs w:val="28"/>
        </w:rPr>
      </w:pPr>
      <w:r w:rsidRPr="00D9194C">
        <w:rPr>
          <w:rFonts w:ascii="Arial" w:hAnsi="Arial" w:cs="Arial"/>
          <w:color w:val="3399FF"/>
          <w:sz w:val="28"/>
          <w:szCs w:val="28"/>
        </w:rPr>
        <w:t>CL_</w:t>
      </w:r>
      <w:r w:rsidR="007261A5">
        <w:rPr>
          <w:rFonts w:ascii="Arial" w:hAnsi="Arial" w:cs="Arial"/>
          <w:color w:val="3399FF"/>
          <w:sz w:val="28"/>
          <w:szCs w:val="28"/>
        </w:rPr>
        <w:t>RELIABILITY</w:t>
      </w:r>
    </w:p>
    <w:p w14:paraId="4D1AC50D" w14:textId="5367569B" w:rsidR="00804390" w:rsidRPr="00D9194C" w:rsidRDefault="00804390" w:rsidP="000E1A6A">
      <w:pPr>
        <w:keepNext/>
        <w:keepLines/>
        <w:spacing w:after="240"/>
        <w:rPr>
          <w:rFonts w:ascii="Arial" w:hAnsi="Arial" w:cs="Arial"/>
          <w:sz w:val="24"/>
          <w:szCs w:val="24"/>
        </w:rPr>
      </w:pPr>
      <w:r w:rsidRPr="00D9194C">
        <w:rPr>
          <w:rFonts w:ascii="Arial" w:hAnsi="Arial" w:cs="Arial"/>
          <w:b/>
          <w:bCs/>
          <w:sz w:val="24"/>
          <w:szCs w:val="24"/>
        </w:rPr>
        <w:t>Name</w:t>
      </w:r>
      <w:r w:rsidRPr="00D9194C">
        <w:rPr>
          <w:rFonts w:ascii="Arial" w:hAnsi="Arial" w:cs="Arial"/>
          <w:sz w:val="24"/>
          <w:szCs w:val="24"/>
        </w:rPr>
        <w:t xml:space="preserve">: Code list for </w:t>
      </w:r>
      <w:r w:rsidR="007261A5">
        <w:rPr>
          <w:rFonts w:ascii="Arial" w:hAnsi="Arial" w:cs="Arial"/>
          <w:sz w:val="24"/>
          <w:szCs w:val="24"/>
        </w:rPr>
        <w:t>Data Reliability</w:t>
      </w:r>
      <w:r w:rsidRPr="00D9194C">
        <w:rPr>
          <w:rFonts w:ascii="Arial" w:hAnsi="Arial" w:cs="Arial"/>
          <w:sz w:val="24"/>
          <w:szCs w:val="24"/>
        </w:rPr>
        <w:t>.</w:t>
      </w:r>
    </w:p>
    <w:p w14:paraId="1706625C" w14:textId="2683A96E" w:rsidR="00804390" w:rsidRPr="00D9194C" w:rsidRDefault="00804390" w:rsidP="00D9194C">
      <w:pPr>
        <w:keepNext/>
        <w:keepLines/>
        <w:spacing w:after="240"/>
        <w:jc w:val="both"/>
        <w:rPr>
          <w:rFonts w:ascii="Arial" w:hAnsi="Arial" w:cs="Arial"/>
          <w:sz w:val="24"/>
          <w:szCs w:val="24"/>
        </w:rPr>
      </w:pPr>
      <w:r w:rsidRPr="00D9194C">
        <w:rPr>
          <w:rFonts w:ascii="Arial" w:hAnsi="Arial" w:cs="Arial"/>
          <w:b/>
          <w:bCs/>
          <w:sz w:val="24"/>
          <w:szCs w:val="24"/>
        </w:rPr>
        <w:t>Description</w:t>
      </w:r>
      <w:r w:rsidRPr="00D9194C">
        <w:rPr>
          <w:rFonts w:ascii="Arial" w:hAnsi="Arial" w:cs="Arial"/>
          <w:sz w:val="24"/>
          <w:szCs w:val="24"/>
        </w:rPr>
        <w:t xml:space="preserve">: </w:t>
      </w:r>
      <w:r w:rsidR="001716DA" w:rsidRPr="001716DA">
        <w:rPr>
          <w:rFonts w:ascii="Arial" w:hAnsi="Arial" w:cs="Arial"/>
          <w:sz w:val="24"/>
          <w:szCs w:val="24"/>
        </w:rPr>
        <w:t>Reliability refers to the closeness of the initial estimated value(s) to the subsequent estimated values</w:t>
      </w:r>
      <w:r w:rsidR="00EE7DB4">
        <w:rPr>
          <w:rStyle w:val="FootnoteReference"/>
          <w:rFonts w:ascii="Arial" w:hAnsi="Arial"/>
          <w:sz w:val="24"/>
          <w:szCs w:val="24"/>
        </w:rPr>
        <w:footnoteReference w:id="1"/>
      </w:r>
      <w:r w:rsidR="00E128FE">
        <w:rPr>
          <w:rFonts w:ascii="Arial" w:hAnsi="Arial" w:cs="Arial"/>
          <w:sz w:val="24"/>
          <w:szCs w:val="24"/>
        </w:rPr>
        <w:t xml:space="preserve">. </w:t>
      </w:r>
      <w:r w:rsidRPr="00D9194C">
        <w:rPr>
          <w:rFonts w:ascii="Arial" w:hAnsi="Arial" w:cs="Arial"/>
          <w:sz w:val="24"/>
          <w:szCs w:val="24"/>
        </w:rPr>
        <w:t>This code list provides coded information about the "</w:t>
      </w:r>
      <w:r w:rsidR="00E2000C">
        <w:rPr>
          <w:rFonts w:ascii="Arial" w:hAnsi="Arial" w:cs="Arial"/>
          <w:sz w:val="24"/>
          <w:szCs w:val="24"/>
        </w:rPr>
        <w:t>quality</w:t>
      </w:r>
      <w:r w:rsidRPr="00D9194C">
        <w:rPr>
          <w:rFonts w:ascii="Arial" w:hAnsi="Arial" w:cs="Arial"/>
          <w:sz w:val="24"/>
          <w:szCs w:val="24"/>
        </w:rPr>
        <w:t xml:space="preserve">" of an observation (with respect to events such as the ones reflected in the codes composing the code list). The </w:t>
      </w:r>
      <w:r w:rsidR="00E2000C">
        <w:rPr>
          <w:rFonts w:ascii="Arial" w:hAnsi="Arial" w:cs="Arial"/>
          <w:sz w:val="24"/>
          <w:szCs w:val="24"/>
        </w:rPr>
        <w:t xml:space="preserve">data reliability </w:t>
      </w:r>
      <w:r w:rsidRPr="00D9194C">
        <w:rPr>
          <w:rFonts w:ascii="Arial" w:hAnsi="Arial" w:cs="Arial"/>
          <w:sz w:val="24"/>
          <w:szCs w:val="24"/>
        </w:rPr>
        <w:t>provides information on the quality of a value.</w:t>
      </w:r>
    </w:p>
    <w:p w14:paraId="4CF1CBF0" w14:textId="7C06256C" w:rsidR="00804390" w:rsidRPr="00D9194C" w:rsidRDefault="00804390" w:rsidP="000E1A6A">
      <w:pPr>
        <w:keepNext/>
        <w:keepLines/>
        <w:spacing w:after="240"/>
        <w:rPr>
          <w:rFonts w:ascii="Arial" w:hAnsi="Arial" w:cs="Arial"/>
          <w:sz w:val="24"/>
          <w:szCs w:val="24"/>
        </w:rPr>
      </w:pPr>
      <w:r w:rsidRPr="00D9194C">
        <w:rPr>
          <w:rFonts w:ascii="Arial" w:hAnsi="Arial" w:cs="Arial"/>
          <w:sz w:val="24"/>
          <w:szCs w:val="24"/>
        </w:rPr>
        <w:t>The concept to be used for CL_</w:t>
      </w:r>
      <w:r w:rsidR="00512949">
        <w:rPr>
          <w:rFonts w:ascii="Arial" w:hAnsi="Arial" w:cs="Arial"/>
          <w:sz w:val="24"/>
          <w:szCs w:val="24"/>
        </w:rPr>
        <w:t xml:space="preserve">RELIABILITY </w:t>
      </w:r>
      <w:r w:rsidRPr="00D9194C">
        <w:rPr>
          <w:rFonts w:ascii="Arial" w:hAnsi="Arial" w:cs="Arial"/>
          <w:sz w:val="24"/>
          <w:szCs w:val="24"/>
        </w:rPr>
        <w:t xml:space="preserve">is </w:t>
      </w:r>
      <w:r w:rsidR="00512949">
        <w:rPr>
          <w:rFonts w:ascii="Arial" w:hAnsi="Arial" w:cs="Arial"/>
          <w:sz w:val="24"/>
          <w:szCs w:val="24"/>
        </w:rPr>
        <w:t>RELIABILITY</w:t>
      </w:r>
      <w:r w:rsidRPr="00D9194C">
        <w:rPr>
          <w:rFonts w:ascii="Arial" w:hAnsi="Arial" w:cs="Arial"/>
          <w:sz w:val="24"/>
          <w:szCs w:val="24"/>
        </w:rPr>
        <w:t xml:space="preserve">.  </w:t>
      </w:r>
    </w:p>
    <w:p w14:paraId="73299C76" w14:textId="77777777" w:rsidR="00804390" w:rsidRDefault="00804390" w:rsidP="002310F0">
      <w:pPr>
        <w:keepNext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See also</w:t>
      </w:r>
    </w:p>
    <w:p w14:paraId="0AAD7739" w14:textId="77777777" w:rsidR="00804390" w:rsidRDefault="00804390" w:rsidP="00504D95">
      <w:pPr>
        <w:numPr>
          <w:ilvl w:val="0"/>
          <w:numId w:val="39"/>
        </w:numPr>
        <w:spacing w:after="360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"Guidelines for the Creation and Management of SDMX Cross-Domain Code Lists"</w:t>
      </w:r>
      <w:r>
        <w:rPr>
          <w:rStyle w:val="FootnoteReference"/>
          <w:rFonts w:ascii="Arial" w:hAnsi="Arial" w:cs="Arial"/>
          <w:sz w:val="24"/>
          <w:szCs w:val="24"/>
        </w:rPr>
        <w:footnoteReference w:id="2"/>
      </w:r>
    </w:p>
    <w:p w14:paraId="3BC38566" w14:textId="77777777" w:rsidR="00804390" w:rsidRDefault="00804390" w:rsidP="00634743">
      <w:pPr>
        <w:spacing w:after="360"/>
        <w:rPr>
          <w:rFonts w:ascii="Arial" w:hAnsi="Arial" w:cs="Arial"/>
          <w:sz w:val="24"/>
          <w:szCs w:val="24"/>
        </w:rPr>
      </w:pPr>
      <w:r w:rsidRPr="00D9194C">
        <w:rPr>
          <w:rFonts w:ascii="Arial" w:hAnsi="Arial" w:cs="Arial"/>
          <w:b/>
          <w:bCs/>
          <w:sz w:val="24"/>
          <w:szCs w:val="24"/>
        </w:rPr>
        <w:t>Established international standard(s) used as input for the code list</w:t>
      </w:r>
      <w:r w:rsidRPr="00D9194C">
        <w:rPr>
          <w:rFonts w:ascii="Arial" w:hAnsi="Arial" w:cs="Arial"/>
          <w:sz w:val="24"/>
          <w:szCs w:val="24"/>
        </w:rPr>
        <w:t>: None.</w:t>
      </w:r>
    </w:p>
    <w:p w14:paraId="56E15CAA" w14:textId="1EBFC723" w:rsidR="00804390" w:rsidRPr="00D9194C" w:rsidRDefault="00804390" w:rsidP="00634743">
      <w:pPr>
        <w:spacing w:after="360"/>
        <w:rPr>
          <w:rFonts w:ascii="Arial" w:hAnsi="Arial" w:cs="Arial"/>
          <w:b/>
          <w:sz w:val="24"/>
          <w:szCs w:val="24"/>
        </w:rPr>
      </w:pPr>
      <w:r w:rsidRPr="00722C65">
        <w:rPr>
          <w:rFonts w:ascii="Arial" w:hAnsi="Arial" w:cs="Arial"/>
          <w:b/>
          <w:sz w:val="24"/>
          <w:szCs w:val="24"/>
        </w:rPr>
        <w:t>Version</w:t>
      </w:r>
      <w:r>
        <w:rPr>
          <w:rFonts w:ascii="Arial" w:hAnsi="Arial" w:cs="Arial"/>
          <w:sz w:val="24"/>
          <w:szCs w:val="24"/>
        </w:rPr>
        <w:t xml:space="preserve">: </w:t>
      </w:r>
      <w:proofErr w:type="gramStart"/>
      <w:r w:rsidR="00E2437F">
        <w:rPr>
          <w:rFonts w:ascii="Arial" w:hAnsi="Arial" w:cs="Arial"/>
          <w:sz w:val="24"/>
          <w:szCs w:val="24"/>
        </w:rPr>
        <w:t>1.0</w:t>
      </w:r>
      <w:r>
        <w:rPr>
          <w:rFonts w:ascii="Arial" w:hAnsi="Arial" w:cs="Arial"/>
          <w:sz w:val="24"/>
          <w:szCs w:val="24"/>
        </w:rPr>
        <w:t xml:space="preserve"> </w:t>
      </w:r>
      <w:r w:rsidR="003D08FB">
        <w:rPr>
          <w:rFonts w:ascii="Arial" w:hAnsi="Arial" w:cs="Arial"/>
          <w:sz w:val="24"/>
          <w:szCs w:val="24"/>
        </w:rPr>
        <w:t xml:space="preserve"> </w:t>
      </w:r>
      <w:r w:rsidR="002354F1">
        <w:rPr>
          <w:rFonts w:ascii="Arial" w:hAnsi="Arial" w:cs="Arial"/>
          <w:sz w:val="24"/>
          <w:szCs w:val="24"/>
        </w:rPr>
        <w:t>16</w:t>
      </w:r>
      <w:proofErr w:type="gramEnd"/>
      <w:r w:rsidR="00E2437F">
        <w:rPr>
          <w:rFonts w:ascii="Arial" w:hAnsi="Arial" w:cs="Arial"/>
          <w:sz w:val="24"/>
          <w:szCs w:val="24"/>
        </w:rPr>
        <w:t xml:space="preserve"> </w:t>
      </w:r>
      <w:r w:rsidR="002354F1">
        <w:rPr>
          <w:rFonts w:ascii="Arial" w:hAnsi="Arial" w:cs="Arial"/>
          <w:sz w:val="24"/>
          <w:szCs w:val="24"/>
        </w:rPr>
        <w:t xml:space="preserve">June </w:t>
      </w:r>
      <w:r w:rsidR="00E2437F">
        <w:rPr>
          <w:rFonts w:ascii="Arial" w:hAnsi="Arial" w:cs="Arial"/>
          <w:sz w:val="24"/>
          <w:szCs w:val="24"/>
        </w:rPr>
        <w:t>202</w:t>
      </w:r>
      <w:r w:rsidR="002354F1">
        <w:rPr>
          <w:rFonts w:ascii="Arial" w:hAnsi="Arial" w:cs="Arial"/>
          <w:sz w:val="24"/>
          <w:szCs w:val="24"/>
        </w:rPr>
        <w:t>2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2"/>
        <w:gridCol w:w="6348"/>
      </w:tblGrid>
      <w:tr w:rsidR="00202715" w14:paraId="6E754836" w14:textId="77777777" w:rsidTr="0005246A">
        <w:trPr>
          <w:cantSplit/>
        </w:trPr>
        <w:tc>
          <w:tcPr>
            <w:tcW w:w="1526" w:type="dxa"/>
            <w:shd w:val="clear" w:color="auto" w:fill="D9D9D9"/>
            <w:vAlign w:val="center"/>
          </w:tcPr>
          <w:p w14:paraId="1E6BBD65" w14:textId="0F0D666B" w:rsidR="00202715" w:rsidRPr="00D9194C" w:rsidRDefault="00202715" w:rsidP="00722C65">
            <w:pPr>
              <w:keepNext/>
              <w:keepLines/>
              <w:tabs>
                <w:tab w:val="left" w:pos="1620"/>
              </w:tabs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Code </w:t>
            </w:r>
          </w:p>
        </w:tc>
        <w:tc>
          <w:tcPr>
            <w:tcW w:w="1702" w:type="dxa"/>
            <w:shd w:val="clear" w:color="auto" w:fill="D9D9D9"/>
            <w:vAlign w:val="center"/>
          </w:tcPr>
          <w:p w14:paraId="1EACD1F5" w14:textId="422E8E14" w:rsidR="00202715" w:rsidRPr="00D9194C" w:rsidRDefault="000B5200" w:rsidP="00722C65">
            <w:pPr>
              <w:keepNext/>
              <w:keepLines/>
              <w:tabs>
                <w:tab w:val="left" w:pos="1620"/>
              </w:tabs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6348" w:type="dxa"/>
            <w:shd w:val="clear" w:color="auto" w:fill="D9D9D9"/>
            <w:vAlign w:val="center"/>
          </w:tcPr>
          <w:p w14:paraId="66FF6291" w14:textId="4B4AA2F0" w:rsidR="00202715" w:rsidRPr="00D9194C" w:rsidRDefault="000B5200" w:rsidP="00722C65">
            <w:pPr>
              <w:keepNext/>
              <w:keepLines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202715" w:rsidRPr="00D9194C">
              <w:rPr>
                <w:rFonts w:ascii="Arial" w:hAnsi="Arial" w:cs="Arial"/>
                <w:b/>
                <w:sz w:val="20"/>
                <w:szCs w:val="20"/>
              </w:rPr>
              <w:t>escription</w:t>
            </w:r>
          </w:p>
        </w:tc>
      </w:tr>
      <w:tr w:rsidR="0005246A" w14:paraId="41B3974F" w14:textId="77777777" w:rsidTr="0005246A">
        <w:trPr>
          <w:cantSplit/>
        </w:trPr>
        <w:tc>
          <w:tcPr>
            <w:tcW w:w="1526" w:type="dxa"/>
            <w:shd w:val="clear" w:color="auto" w:fill="D9D9D9"/>
            <w:vAlign w:val="center"/>
          </w:tcPr>
          <w:p w14:paraId="7A74D3C4" w14:textId="2C55FA1D" w:rsidR="0005246A" w:rsidRPr="00DA0508" w:rsidRDefault="0005246A" w:rsidP="0005246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1702" w:type="dxa"/>
            <w:vAlign w:val="center"/>
          </w:tcPr>
          <w:p w14:paraId="6EECF146" w14:textId="7968E37A" w:rsidR="0005246A" w:rsidRPr="00DA0508" w:rsidRDefault="0005246A" w:rsidP="0005246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Very High </w:t>
            </w:r>
            <w:r w:rsidRPr="00D9194C">
              <w:rPr>
                <w:rFonts w:ascii="Arial" w:hAnsi="Arial" w:cs="Arial"/>
                <w:color w:val="000000"/>
                <w:sz w:val="20"/>
                <w:szCs w:val="20"/>
              </w:rPr>
              <w:t>reliability</w:t>
            </w:r>
          </w:p>
        </w:tc>
        <w:tc>
          <w:tcPr>
            <w:tcW w:w="6348" w:type="dxa"/>
          </w:tcPr>
          <w:p w14:paraId="12F0FA00" w14:textId="52A39D31" w:rsidR="0005246A" w:rsidRPr="00DA0508" w:rsidRDefault="0005246A" w:rsidP="0005246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9194C">
              <w:rPr>
                <w:rFonts w:ascii="Arial" w:hAnsi="Arial" w:cs="Arial"/>
                <w:sz w:val="20"/>
                <w:szCs w:val="20"/>
              </w:rPr>
              <w:t xml:space="preserve">This indicates existing observations for which the user should also be aware of the </w:t>
            </w:r>
            <w:r w:rsidR="00DF5A11">
              <w:rPr>
                <w:rFonts w:ascii="Arial" w:hAnsi="Arial" w:cs="Arial"/>
                <w:sz w:val="20"/>
                <w:szCs w:val="20"/>
              </w:rPr>
              <w:t xml:space="preserve">very </w:t>
            </w:r>
            <w:r>
              <w:rPr>
                <w:rFonts w:ascii="Arial" w:hAnsi="Arial" w:cs="Arial"/>
                <w:sz w:val="20"/>
                <w:szCs w:val="20"/>
              </w:rPr>
              <w:t>high</w:t>
            </w:r>
            <w:r w:rsidRPr="00D9194C">
              <w:rPr>
                <w:rFonts w:ascii="Arial" w:hAnsi="Arial" w:cs="Arial"/>
                <w:sz w:val="20"/>
                <w:szCs w:val="20"/>
              </w:rPr>
              <w:t xml:space="preserve"> quality assigned</w:t>
            </w:r>
            <w:r w:rsidR="004A13AF">
              <w:rPr>
                <w:rFonts w:ascii="Arial" w:hAnsi="Arial" w:cs="Arial"/>
                <w:sz w:val="20"/>
                <w:szCs w:val="20"/>
              </w:rPr>
              <w:t xml:space="preserve"> and the </w:t>
            </w:r>
            <w:r w:rsidR="00352770">
              <w:rPr>
                <w:rFonts w:ascii="Arial" w:hAnsi="Arial" w:cs="Arial"/>
                <w:sz w:val="20"/>
                <w:szCs w:val="20"/>
              </w:rPr>
              <w:t xml:space="preserve">very </w:t>
            </w:r>
            <w:r w:rsidR="004A13AF" w:rsidRPr="004A13AF">
              <w:rPr>
                <w:rFonts w:ascii="Arial" w:hAnsi="Arial" w:cs="Arial"/>
                <w:sz w:val="20"/>
                <w:szCs w:val="20"/>
              </w:rPr>
              <w:t>low chances of revision</w:t>
            </w:r>
            <w:r w:rsidR="0047520F">
              <w:rPr>
                <w:rFonts w:ascii="Arial" w:hAnsi="Arial" w:cs="Arial"/>
                <w:sz w:val="20"/>
                <w:szCs w:val="20"/>
              </w:rPr>
              <w:t xml:space="preserve"> of the published value</w:t>
            </w:r>
            <w:r w:rsidRPr="00D919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5246A" w14:paraId="61ED15A6" w14:textId="77777777" w:rsidTr="0005246A">
        <w:trPr>
          <w:cantSplit/>
        </w:trPr>
        <w:tc>
          <w:tcPr>
            <w:tcW w:w="1526" w:type="dxa"/>
            <w:shd w:val="clear" w:color="auto" w:fill="D9D9D9"/>
            <w:vAlign w:val="center"/>
          </w:tcPr>
          <w:p w14:paraId="4B835056" w14:textId="4DC8C1D4" w:rsidR="0005246A" w:rsidRDefault="0005246A" w:rsidP="0005246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</w:t>
            </w:r>
          </w:p>
        </w:tc>
        <w:tc>
          <w:tcPr>
            <w:tcW w:w="1702" w:type="dxa"/>
            <w:vAlign w:val="center"/>
          </w:tcPr>
          <w:p w14:paraId="07ADD939" w14:textId="29C0B629" w:rsidR="0005246A" w:rsidRDefault="0005246A" w:rsidP="0005246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High </w:t>
            </w:r>
            <w:r w:rsidRPr="00D9194C">
              <w:rPr>
                <w:rFonts w:ascii="Arial" w:hAnsi="Arial" w:cs="Arial"/>
                <w:color w:val="000000"/>
                <w:sz w:val="20"/>
                <w:szCs w:val="20"/>
              </w:rPr>
              <w:t>reliability</w:t>
            </w:r>
          </w:p>
        </w:tc>
        <w:tc>
          <w:tcPr>
            <w:tcW w:w="6348" w:type="dxa"/>
          </w:tcPr>
          <w:p w14:paraId="33731B5A" w14:textId="69D2304C" w:rsidR="0005246A" w:rsidRPr="00D9194C" w:rsidRDefault="0005246A" w:rsidP="0005246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194C">
              <w:rPr>
                <w:rFonts w:ascii="Arial" w:hAnsi="Arial" w:cs="Arial"/>
                <w:sz w:val="20"/>
                <w:szCs w:val="20"/>
              </w:rPr>
              <w:t xml:space="preserve">This indicates existing observations for which the user should also be aware of the </w:t>
            </w:r>
            <w:r>
              <w:rPr>
                <w:rFonts w:ascii="Arial" w:hAnsi="Arial" w:cs="Arial"/>
                <w:sz w:val="20"/>
                <w:szCs w:val="20"/>
              </w:rPr>
              <w:t>high</w:t>
            </w:r>
            <w:r w:rsidRPr="00D9194C">
              <w:rPr>
                <w:rFonts w:ascii="Arial" w:hAnsi="Arial" w:cs="Arial"/>
                <w:sz w:val="20"/>
                <w:szCs w:val="20"/>
              </w:rPr>
              <w:t xml:space="preserve"> quality assigned</w:t>
            </w:r>
            <w:r w:rsidR="00352770">
              <w:rPr>
                <w:rFonts w:ascii="Arial" w:hAnsi="Arial" w:cs="Arial"/>
                <w:sz w:val="20"/>
                <w:szCs w:val="20"/>
              </w:rPr>
              <w:t xml:space="preserve"> and the </w:t>
            </w:r>
            <w:r w:rsidR="00352770" w:rsidRPr="00352770">
              <w:rPr>
                <w:rFonts w:ascii="Arial" w:hAnsi="Arial" w:cs="Arial"/>
                <w:sz w:val="20"/>
                <w:szCs w:val="20"/>
              </w:rPr>
              <w:t>low chances of revision</w:t>
            </w:r>
            <w:r w:rsidR="0047520F">
              <w:rPr>
                <w:rFonts w:ascii="Arial" w:hAnsi="Arial" w:cs="Arial"/>
                <w:sz w:val="20"/>
                <w:szCs w:val="20"/>
              </w:rPr>
              <w:t xml:space="preserve"> of the published value</w:t>
            </w:r>
            <w:r w:rsidRPr="00D919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5246A" w14:paraId="74ACE88A" w14:textId="77777777" w:rsidTr="0005246A">
        <w:trPr>
          <w:cantSplit/>
        </w:trPr>
        <w:tc>
          <w:tcPr>
            <w:tcW w:w="1526" w:type="dxa"/>
            <w:shd w:val="clear" w:color="auto" w:fill="D9D9D9"/>
            <w:vAlign w:val="center"/>
          </w:tcPr>
          <w:p w14:paraId="5B3C6F4C" w14:textId="573562D1" w:rsidR="0005246A" w:rsidRDefault="0005246A" w:rsidP="0005246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</w:t>
            </w:r>
          </w:p>
        </w:tc>
        <w:tc>
          <w:tcPr>
            <w:tcW w:w="1702" w:type="dxa"/>
            <w:vAlign w:val="center"/>
          </w:tcPr>
          <w:p w14:paraId="3886AE58" w14:textId="361CC145" w:rsidR="0005246A" w:rsidRDefault="0005246A" w:rsidP="0005246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Medium </w:t>
            </w:r>
            <w:r w:rsidRPr="00D9194C">
              <w:rPr>
                <w:rFonts w:ascii="Arial" w:hAnsi="Arial" w:cs="Arial"/>
                <w:color w:val="000000"/>
                <w:sz w:val="20"/>
                <w:szCs w:val="20"/>
              </w:rPr>
              <w:t>reliability</w:t>
            </w:r>
          </w:p>
        </w:tc>
        <w:tc>
          <w:tcPr>
            <w:tcW w:w="6348" w:type="dxa"/>
          </w:tcPr>
          <w:p w14:paraId="21DB49DA" w14:textId="3F93C919" w:rsidR="0005246A" w:rsidRPr="00D9194C" w:rsidRDefault="0005246A" w:rsidP="0005246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194C">
              <w:rPr>
                <w:rFonts w:ascii="Arial" w:hAnsi="Arial" w:cs="Arial"/>
                <w:sz w:val="20"/>
                <w:szCs w:val="20"/>
              </w:rPr>
              <w:t xml:space="preserve">This indicates existing observations for which the user should also be aware of the </w:t>
            </w:r>
            <w:r>
              <w:rPr>
                <w:rFonts w:ascii="Arial" w:hAnsi="Arial" w:cs="Arial"/>
                <w:sz w:val="20"/>
                <w:szCs w:val="20"/>
              </w:rPr>
              <w:t>medium</w:t>
            </w:r>
            <w:r w:rsidRPr="00D9194C">
              <w:rPr>
                <w:rFonts w:ascii="Arial" w:hAnsi="Arial" w:cs="Arial"/>
                <w:sz w:val="20"/>
                <w:szCs w:val="20"/>
              </w:rPr>
              <w:t xml:space="preserve"> quality assigned</w:t>
            </w:r>
            <w:r w:rsidR="0047520F">
              <w:rPr>
                <w:rFonts w:ascii="Arial" w:hAnsi="Arial" w:cs="Arial"/>
                <w:sz w:val="20"/>
                <w:szCs w:val="20"/>
              </w:rPr>
              <w:t xml:space="preserve"> and the possibility</w:t>
            </w:r>
            <w:r w:rsidR="0047520F" w:rsidRPr="00352770">
              <w:rPr>
                <w:rFonts w:ascii="Arial" w:hAnsi="Arial" w:cs="Arial"/>
                <w:sz w:val="20"/>
                <w:szCs w:val="20"/>
              </w:rPr>
              <w:t xml:space="preserve"> of revision</w:t>
            </w:r>
            <w:r w:rsidR="0047520F">
              <w:rPr>
                <w:rFonts w:ascii="Arial" w:hAnsi="Arial" w:cs="Arial"/>
                <w:sz w:val="20"/>
                <w:szCs w:val="20"/>
              </w:rPr>
              <w:t xml:space="preserve"> of the published value</w:t>
            </w:r>
            <w:r w:rsidRPr="00D919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5246A" w14:paraId="6D2123E5" w14:textId="77777777" w:rsidTr="0005246A">
        <w:trPr>
          <w:cantSplit/>
        </w:trPr>
        <w:tc>
          <w:tcPr>
            <w:tcW w:w="1526" w:type="dxa"/>
            <w:shd w:val="clear" w:color="auto" w:fill="D9D9D9"/>
            <w:vAlign w:val="center"/>
          </w:tcPr>
          <w:p w14:paraId="4ECD25EA" w14:textId="0742063D" w:rsidR="0005246A" w:rsidRDefault="0005246A" w:rsidP="0005246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</w:t>
            </w:r>
          </w:p>
        </w:tc>
        <w:tc>
          <w:tcPr>
            <w:tcW w:w="1702" w:type="dxa"/>
            <w:vAlign w:val="center"/>
          </w:tcPr>
          <w:p w14:paraId="2F345F85" w14:textId="0AF6112E" w:rsidR="0005246A" w:rsidRDefault="0005246A" w:rsidP="0005246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194C">
              <w:rPr>
                <w:rFonts w:ascii="Arial" w:hAnsi="Arial" w:cs="Arial"/>
                <w:color w:val="000000"/>
                <w:sz w:val="20"/>
                <w:szCs w:val="20"/>
              </w:rPr>
              <w:t>Low reliability</w:t>
            </w:r>
          </w:p>
        </w:tc>
        <w:tc>
          <w:tcPr>
            <w:tcW w:w="6348" w:type="dxa"/>
          </w:tcPr>
          <w:p w14:paraId="07413F2C" w14:textId="1F6CEC84" w:rsidR="0005246A" w:rsidRPr="00D9194C" w:rsidRDefault="0005246A" w:rsidP="0005246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194C">
              <w:rPr>
                <w:rFonts w:ascii="Arial" w:hAnsi="Arial" w:cs="Arial"/>
                <w:sz w:val="20"/>
                <w:szCs w:val="20"/>
              </w:rPr>
              <w:t>This indicates existing observations, but for which the user should also be aware of the low quality assigned</w:t>
            </w:r>
            <w:r w:rsidR="0047520F">
              <w:rPr>
                <w:rFonts w:ascii="Arial" w:hAnsi="Arial" w:cs="Arial"/>
                <w:sz w:val="20"/>
                <w:szCs w:val="20"/>
              </w:rPr>
              <w:t xml:space="preserve"> and the high </w:t>
            </w:r>
            <w:r w:rsidR="0047520F" w:rsidRPr="00352770">
              <w:rPr>
                <w:rFonts w:ascii="Arial" w:hAnsi="Arial" w:cs="Arial"/>
                <w:sz w:val="20"/>
                <w:szCs w:val="20"/>
              </w:rPr>
              <w:t>chances of revision</w:t>
            </w:r>
            <w:r w:rsidR="0047520F">
              <w:rPr>
                <w:rFonts w:ascii="Arial" w:hAnsi="Arial" w:cs="Arial"/>
                <w:sz w:val="20"/>
                <w:szCs w:val="20"/>
              </w:rPr>
              <w:t xml:space="preserve"> of the published value</w:t>
            </w:r>
            <w:r w:rsidRPr="00D919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5246A" w14:paraId="2F4DF096" w14:textId="77777777" w:rsidTr="0005246A">
        <w:trPr>
          <w:cantSplit/>
        </w:trPr>
        <w:tc>
          <w:tcPr>
            <w:tcW w:w="1526" w:type="dxa"/>
            <w:shd w:val="clear" w:color="auto" w:fill="D9D9D9"/>
            <w:vAlign w:val="center"/>
          </w:tcPr>
          <w:p w14:paraId="4DD48E50" w14:textId="44A2F0C6" w:rsidR="0005246A" w:rsidRDefault="0005246A" w:rsidP="0005246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</w:t>
            </w:r>
          </w:p>
        </w:tc>
        <w:tc>
          <w:tcPr>
            <w:tcW w:w="1702" w:type="dxa"/>
            <w:vAlign w:val="center"/>
          </w:tcPr>
          <w:p w14:paraId="6E646EC6" w14:textId="39FBA715" w:rsidR="0005246A" w:rsidRPr="00D9194C" w:rsidRDefault="0005246A" w:rsidP="0005246A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Very l</w:t>
            </w:r>
            <w:r w:rsidRPr="00D9194C">
              <w:rPr>
                <w:rFonts w:ascii="Arial" w:hAnsi="Arial" w:cs="Arial"/>
                <w:color w:val="000000"/>
                <w:sz w:val="20"/>
                <w:szCs w:val="20"/>
              </w:rPr>
              <w:t>ow reliability</w:t>
            </w:r>
          </w:p>
        </w:tc>
        <w:tc>
          <w:tcPr>
            <w:tcW w:w="6348" w:type="dxa"/>
          </w:tcPr>
          <w:p w14:paraId="1DFA885C" w14:textId="53354976" w:rsidR="0005246A" w:rsidRPr="00D9194C" w:rsidRDefault="0005246A" w:rsidP="0005246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194C">
              <w:rPr>
                <w:rFonts w:ascii="Arial" w:hAnsi="Arial" w:cs="Arial"/>
                <w:sz w:val="20"/>
                <w:szCs w:val="20"/>
              </w:rPr>
              <w:t xml:space="preserve">This indicates existing observations, but for which the user should also be aware of the </w:t>
            </w:r>
            <w:r>
              <w:rPr>
                <w:rFonts w:ascii="Arial" w:hAnsi="Arial" w:cs="Arial"/>
                <w:sz w:val="20"/>
                <w:szCs w:val="20"/>
              </w:rPr>
              <w:t xml:space="preserve">very </w:t>
            </w:r>
            <w:r w:rsidRPr="00D9194C">
              <w:rPr>
                <w:rFonts w:ascii="Arial" w:hAnsi="Arial" w:cs="Arial"/>
                <w:sz w:val="20"/>
                <w:szCs w:val="20"/>
              </w:rPr>
              <w:t>low quality assigned</w:t>
            </w:r>
            <w:r w:rsidR="0047520F">
              <w:rPr>
                <w:rFonts w:ascii="Arial" w:hAnsi="Arial" w:cs="Arial"/>
                <w:sz w:val="20"/>
                <w:szCs w:val="20"/>
              </w:rPr>
              <w:t xml:space="preserve"> and the very high </w:t>
            </w:r>
            <w:r w:rsidR="0047520F" w:rsidRPr="00352770">
              <w:rPr>
                <w:rFonts w:ascii="Arial" w:hAnsi="Arial" w:cs="Arial"/>
                <w:sz w:val="20"/>
                <w:szCs w:val="20"/>
              </w:rPr>
              <w:t>chances of revision</w:t>
            </w:r>
            <w:r w:rsidR="0047520F">
              <w:rPr>
                <w:rFonts w:ascii="Arial" w:hAnsi="Arial" w:cs="Arial"/>
                <w:sz w:val="20"/>
                <w:szCs w:val="20"/>
              </w:rPr>
              <w:t xml:space="preserve"> of the published value</w:t>
            </w:r>
            <w:r w:rsidRPr="00D919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5246A" w14:paraId="7F84C939" w14:textId="77777777" w:rsidTr="0005246A">
        <w:trPr>
          <w:cantSplit/>
        </w:trPr>
        <w:tc>
          <w:tcPr>
            <w:tcW w:w="1526" w:type="dxa"/>
            <w:shd w:val="clear" w:color="auto" w:fill="D9D9D9"/>
            <w:vAlign w:val="center"/>
          </w:tcPr>
          <w:p w14:paraId="522334DB" w14:textId="04EA6D30" w:rsidR="0005246A" w:rsidRPr="002354F1" w:rsidRDefault="0005246A" w:rsidP="0005246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54F1">
              <w:rPr>
                <w:rFonts w:ascii="Arial" w:hAnsi="Arial" w:cs="Arial"/>
                <w:b/>
                <w:color w:val="000000"/>
                <w:sz w:val="20"/>
                <w:szCs w:val="20"/>
              </w:rPr>
              <w:t>_U</w:t>
            </w:r>
          </w:p>
        </w:tc>
        <w:tc>
          <w:tcPr>
            <w:tcW w:w="1702" w:type="dxa"/>
            <w:vAlign w:val="center"/>
          </w:tcPr>
          <w:p w14:paraId="2BAF9146" w14:textId="6AC0C46D" w:rsidR="0005246A" w:rsidRPr="002354F1" w:rsidRDefault="0005246A" w:rsidP="0005246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354F1">
              <w:rPr>
                <w:rFonts w:ascii="Arial" w:hAnsi="Arial" w:cs="Arial"/>
                <w:sz w:val="20"/>
                <w:szCs w:val="20"/>
              </w:rPr>
              <w:t xml:space="preserve">Unknown </w:t>
            </w:r>
          </w:p>
        </w:tc>
        <w:tc>
          <w:tcPr>
            <w:tcW w:w="6348" w:type="dxa"/>
          </w:tcPr>
          <w:p w14:paraId="0964EA7F" w14:textId="5903F9C3" w:rsidR="0005246A" w:rsidRPr="002354F1" w:rsidRDefault="0005246A" w:rsidP="0005246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54F1">
              <w:rPr>
                <w:rFonts w:ascii="Arial" w:hAnsi="Arial" w:cs="Arial"/>
                <w:sz w:val="20"/>
                <w:szCs w:val="20"/>
              </w:rPr>
              <w:t xml:space="preserve">Unknown reliability </w:t>
            </w:r>
          </w:p>
        </w:tc>
      </w:tr>
      <w:tr w:rsidR="00C13B6F" w14:paraId="22C0D177" w14:textId="77777777" w:rsidTr="0005246A">
        <w:trPr>
          <w:cantSplit/>
        </w:trPr>
        <w:tc>
          <w:tcPr>
            <w:tcW w:w="1526" w:type="dxa"/>
            <w:shd w:val="clear" w:color="auto" w:fill="D9D9D9"/>
            <w:vAlign w:val="center"/>
          </w:tcPr>
          <w:p w14:paraId="2D143902" w14:textId="0BE4C091" w:rsidR="00C13B6F" w:rsidRPr="002354F1" w:rsidRDefault="008C2183" w:rsidP="0005246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54F1">
              <w:rPr>
                <w:rFonts w:ascii="Arial" w:hAnsi="Arial" w:cs="Arial"/>
                <w:b/>
                <w:color w:val="000000"/>
                <w:sz w:val="20"/>
                <w:szCs w:val="20"/>
              </w:rPr>
              <w:t>_Z</w:t>
            </w:r>
          </w:p>
        </w:tc>
        <w:tc>
          <w:tcPr>
            <w:tcW w:w="1702" w:type="dxa"/>
            <w:vAlign w:val="center"/>
          </w:tcPr>
          <w:p w14:paraId="7BDBCD67" w14:textId="2A2EB782" w:rsidR="00C13B6F" w:rsidRPr="002354F1" w:rsidRDefault="00D00FC5" w:rsidP="0005246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354F1"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  <w:tc>
          <w:tcPr>
            <w:tcW w:w="6348" w:type="dxa"/>
          </w:tcPr>
          <w:p w14:paraId="3A63D3CA" w14:textId="68E6938C" w:rsidR="00C13B6F" w:rsidRPr="002354F1" w:rsidRDefault="00233C31" w:rsidP="0005246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3C31">
              <w:rPr>
                <w:rFonts w:ascii="Arial" w:hAnsi="Arial" w:cs="Arial"/>
                <w:sz w:val="20"/>
                <w:szCs w:val="20"/>
              </w:rPr>
              <w:t xml:space="preserve">To be used when </w:t>
            </w:r>
            <w:r w:rsidR="00670F9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505AF1" w:rsidRPr="00505AF1">
              <w:rPr>
                <w:rFonts w:ascii="Arial" w:hAnsi="Arial" w:cs="Arial"/>
                <w:sz w:val="20"/>
                <w:szCs w:val="20"/>
              </w:rPr>
              <w:t>reliability</w:t>
            </w:r>
            <w:r w:rsidR="00471E43">
              <w:rPr>
                <w:rFonts w:ascii="Arial" w:hAnsi="Arial" w:cs="Arial"/>
                <w:sz w:val="20"/>
                <w:szCs w:val="20"/>
              </w:rPr>
              <w:t xml:space="preserve"> is mandatory in </w:t>
            </w:r>
            <w:r w:rsidR="001C1494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gramStart"/>
            <w:r w:rsidR="00471E43">
              <w:rPr>
                <w:rFonts w:ascii="Arial" w:hAnsi="Arial" w:cs="Arial"/>
                <w:sz w:val="20"/>
                <w:szCs w:val="20"/>
              </w:rPr>
              <w:t>DSD</w:t>
            </w:r>
            <w:proofErr w:type="gramEnd"/>
            <w:r w:rsidR="00471E4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D16C5C">
              <w:rPr>
                <w:rFonts w:ascii="Arial" w:hAnsi="Arial" w:cs="Arial"/>
                <w:sz w:val="20"/>
                <w:szCs w:val="20"/>
              </w:rPr>
              <w:t xml:space="preserve">it is not applicable for the data set </w:t>
            </w:r>
          </w:p>
        </w:tc>
      </w:tr>
    </w:tbl>
    <w:p w14:paraId="6216A3BD" w14:textId="77777777" w:rsidR="00C530F5" w:rsidRDefault="00804390" w:rsidP="00C530F5">
      <w:pPr>
        <w:keepNext/>
        <w:keepLines/>
        <w:autoSpaceDE w:val="0"/>
        <w:autoSpaceDN w:val="0"/>
        <w:adjustRightInd w:val="0"/>
        <w:spacing w:before="360" w:after="240"/>
        <w:jc w:val="both"/>
        <w:rPr>
          <w:rFonts w:ascii="Arial" w:hAnsi="Arial" w:cs="Arial"/>
          <w:b/>
          <w:sz w:val="24"/>
          <w:szCs w:val="24"/>
        </w:rPr>
      </w:pPr>
      <w:r w:rsidRPr="00D9194C">
        <w:rPr>
          <w:rFonts w:ascii="Arial" w:hAnsi="Arial" w:cs="Arial"/>
          <w:b/>
          <w:sz w:val="24"/>
          <w:szCs w:val="24"/>
        </w:rPr>
        <w:t>Default value</w:t>
      </w:r>
    </w:p>
    <w:p w14:paraId="19947629" w14:textId="5C1CB8DA" w:rsidR="00804390" w:rsidRDefault="00804390" w:rsidP="00CF006C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4"/>
          <w:szCs w:val="24"/>
        </w:rPr>
      </w:pPr>
      <w:r w:rsidRPr="00D9194C">
        <w:rPr>
          <w:rFonts w:ascii="Arial" w:hAnsi="Arial" w:cs="Arial"/>
          <w:sz w:val="24"/>
          <w:szCs w:val="24"/>
        </w:rPr>
        <w:t xml:space="preserve"> In some implementations the concept </w:t>
      </w:r>
      <w:r w:rsidR="00A4468C">
        <w:rPr>
          <w:rFonts w:ascii="Arial" w:hAnsi="Arial" w:cs="Arial"/>
          <w:sz w:val="24"/>
          <w:szCs w:val="24"/>
        </w:rPr>
        <w:t>REL</w:t>
      </w:r>
      <w:r w:rsidR="00684E9B">
        <w:rPr>
          <w:rFonts w:ascii="Arial" w:hAnsi="Arial" w:cs="Arial"/>
          <w:sz w:val="24"/>
          <w:szCs w:val="24"/>
        </w:rPr>
        <w:t>IABILITY</w:t>
      </w:r>
      <w:r w:rsidRPr="00D9194C">
        <w:rPr>
          <w:rFonts w:ascii="Arial" w:hAnsi="Arial" w:cs="Arial"/>
          <w:sz w:val="24"/>
          <w:szCs w:val="24"/>
        </w:rPr>
        <w:t xml:space="preserve"> may not have been defined as </w:t>
      </w:r>
      <w:r w:rsidRPr="00D9194C">
        <w:rPr>
          <w:rFonts w:ascii="Arial" w:hAnsi="Arial" w:cs="Arial"/>
          <w:color w:val="000000"/>
          <w:sz w:val="24"/>
          <w:szCs w:val="24"/>
        </w:rPr>
        <w:t>"</w:t>
      </w:r>
      <w:r w:rsidRPr="00D9194C">
        <w:rPr>
          <w:rFonts w:ascii="Arial" w:hAnsi="Arial" w:cs="Arial"/>
          <w:sz w:val="24"/>
          <w:szCs w:val="24"/>
        </w:rPr>
        <w:t>mandatory</w:t>
      </w:r>
      <w:r w:rsidRPr="00D9194C">
        <w:rPr>
          <w:rFonts w:ascii="Arial" w:hAnsi="Arial" w:cs="Arial"/>
          <w:color w:val="000000"/>
          <w:sz w:val="24"/>
          <w:szCs w:val="24"/>
        </w:rPr>
        <w:t>"</w:t>
      </w:r>
      <w:r w:rsidRPr="00D9194C">
        <w:rPr>
          <w:rFonts w:ascii="Arial" w:hAnsi="Arial" w:cs="Arial"/>
          <w:sz w:val="24"/>
          <w:szCs w:val="24"/>
        </w:rPr>
        <w:t xml:space="preserve"> within the data structure definition (DSD). If this is the case, each single observation may not be necessarily accompanied by a </w:t>
      </w:r>
      <w:r w:rsidR="00684E9B">
        <w:rPr>
          <w:rFonts w:ascii="Arial" w:hAnsi="Arial" w:cs="Arial"/>
          <w:sz w:val="24"/>
          <w:szCs w:val="24"/>
        </w:rPr>
        <w:t>RELIABILITY</w:t>
      </w:r>
      <w:r w:rsidRPr="00D9194C">
        <w:rPr>
          <w:rFonts w:ascii="Arial" w:hAnsi="Arial" w:cs="Arial"/>
          <w:sz w:val="24"/>
          <w:szCs w:val="24"/>
        </w:rPr>
        <w:t xml:space="preserve"> code value and, if no value has been associated to an observation, the default code value (</w:t>
      </w:r>
      <w:r w:rsidRPr="00D9194C">
        <w:rPr>
          <w:rFonts w:ascii="Arial" w:hAnsi="Arial" w:cs="Arial"/>
          <w:color w:val="000000"/>
          <w:sz w:val="24"/>
          <w:szCs w:val="24"/>
        </w:rPr>
        <w:t>"</w:t>
      </w:r>
      <w:r w:rsidR="00670252">
        <w:rPr>
          <w:rFonts w:ascii="Arial" w:hAnsi="Arial" w:cs="Arial"/>
          <w:color w:val="000000"/>
          <w:sz w:val="24"/>
          <w:szCs w:val="24"/>
        </w:rPr>
        <w:t>_U</w:t>
      </w:r>
      <w:r w:rsidRPr="00D9194C">
        <w:rPr>
          <w:rFonts w:ascii="Arial" w:hAnsi="Arial" w:cs="Arial"/>
          <w:color w:val="000000"/>
          <w:sz w:val="24"/>
          <w:szCs w:val="24"/>
        </w:rPr>
        <w:t>"</w:t>
      </w:r>
      <w:r w:rsidRPr="00D9194C">
        <w:rPr>
          <w:rFonts w:ascii="Arial" w:hAnsi="Arial" w:cs="Arial"/>
          <w:sz w:val="24"/>
          <w:szCs w:val="24"/>
        </w:rPr>
        <w:t xml:space="preserve"> </w:t>
      </w:r>
      <w:r w:rsidR="00205353">
        <w:rPr>
          <w:rFonts w:ascii="Arial" w:hAnsi="Arial" w:cs="Arial"/>
          <w:sz w:val="24"/>
          <w:szCs w:val="24"/>
        </w:rPr>
        <w:t>–</w:t>
      </w:r>
      <w:r w:rsidRPr="00D9194C">
        <w:rPr>
          <w:rFonts w:ascii="Arial" w:hAnsi="Arial" w:cs="Arial"/>
          <w:sz w:val="24"/>
          <w:szCs w:val="24"/>
        </w:rPr>
        <w:t xml:space="preserve"> </w:t>
      </w:r>
      <w:r w:rsidR="00670252">
        <w:rPr>
          <w:rFonts w:ascii="Arial" w:hAnsi="Arial" w:cs="Arial"/>
          <w:sz w:val="24"/>
          <w:szCs w:val="24"/>
        </w:rPr>
        <w:t>Unknown</w:t>
      </w:r>
      <w:r w:rsidR="00205353">
        <w:rPr>
          <w:rFonts w:ascii="Arial" w:hAnsi="Arial" w:cs="Arial"/>
          <w:sz w:val="24"/>
          <w:szCs w:val="24"/>
        </w:rPr>
        <w:t xml:space="preserve"> reliability</w:t>
      </w:r>
      <w:r w:rsidRPr="00D9194C">
        <w:rPr>
          <w:rFonts w:ascii="Arial" w:hAnsi="Arial" w:cs="Arial"/>
          <w:sz w:val="24"/>
          <w:szCs w:val="24"/>
        </w:rPr>
        <w:t xml:space="preserve">) can be assumed.  </w:t>
      </w:r>
    </w:p>
    <w:p w14:paraId="0768B9DA" w14:textId="0B4C1225" w:rsidR="009A1D75" w:rsidRDefault="009A1D75" w:rsidP="00CF006C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CL_RELIABILITY</w:t>
      </w:r>
      <w:r w:rsidR="005A151A">
        <w:rPr>
          <w:rFonts w:ascii="Arial" w:hAnsi="Arial" w:cs="Arial"/>
          <w:b/>
          <w:bCs/>
          <w:sz w:val="24"/>
          <w:szCs w:val="24"/>
        </w:rPr>
        <w:t xml:space="preserve"> and OBS_STATUS</w:t>
      </w:r>
    </w:p>
    <w:p w14:paraId="3787C8A4" w14:textId="63E9D67B" w:rsidR="00127EE1" w:rsidRDefault="00AE52BC" w:rsidP="00CF006C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RELIABILITY co</w:t>
      </w:r>
      <w:r w:rsidR="004D4634">
        <w:rPr>
          <w:rFonts w:ascii="Arial" w:hAnsi="Arial" w:cs="Arial"/>
          <w:sz w:val="24"/>
          <w:szCs w:val="24"/>
        </w:rPr>
        <w:t>ncept can be used in combination with OBS_STATUS</w:t>
      </w:r>
      <w:r w:rsidR="009552C1">
        <w:rPr>
          <w:rFonts w:ascii="Arial" w:hAnsi="Arial" w:cs="Arial"/>
          <w:sz w:val="24"/>
          <w:szCs w:val="24"/>
        </w:rPr>
        <w:t xml:space="preserve">, </w:t>
      </w:r>
      <w:r w:rsidR="00F70B53">
        <w:rPr>
          <w:rFonts w:ascii="Arial" w:hAnsi="Arial" w:cs="Arial"/>
          <w:sz w:val="24"/>
          <w:szCs w:val="24"/>
        </w:rPr>
        <w:t xml:space="preserve">when the OBS_STATUS </w:t>
      </w:r>
      <w:r w:rsidR="00C01C9B">
        <w:rPr>
          <w:rFonts w:ascii="Arial" w:hAnsi="Arial" w:cs="Arial"/>
          <w:sz w:val="24"/>
          <w:szCs w:val="24"/>
        </w:rPr>
        <w:t xml:space="preserve">= U </w:t>
      </w:r>
      <w:bookmarkStart w:id="0" w:name="_Hlk88548497"/>
      <w:r w:rsidR="00C01C9B">
        <w:rPr>
          <w:rFonts w:ascii="Arial" w:hAnsi="Arial" w:cs="Arial"/>
          <w:sz w:val="24"/>
          <w:szCs w:val="24"/>
        </w:rPr>
        <w:t>“</w:t>
      </w:r>
      <w:r w:rsidR="00C01C9B" w:rsidRPr="00C01C9B">
        <w:rPr>
          <w:rFonts w:ascii="Arial" w:hAnsi="Arial" w:cs="Arial"/>
          <w:sz w:val="24"/>
          <w:szCs w:val="24"/>
        </w:rPr>
        <w:t>Low reliability</w:t>
      </w:r>
      <w:r w:rsidR="00C01C9B">
        <w:rPr>
          <w:rFonts w:ascii="Arial" w:hAnsi="Arial" w:cs="Arial"/>
          <w:sz w:val="24"/>
          <w:szCs w:val="24"/>
        </w:rPr>
        <w:t>”</w:t>
      </w:r>
      <w:bookmarkEnd w:id="0"/>
      <w:r w:rsidR="00C01C9B">
        <w:rPr>
          <w:rFonts w:ascii="Arial" w:hAnsi="Arial" w:cs="Arial"/>
          <w:sz w:val="24"/>
          <w:szCs w:val="24"/>
        </w:rPr>
        <w:t xml:space="preserve">, the CL_RELIABILITY </w:t>
      </w:r>
      <w:r w:rsidR="005D6545">
        <w:rPr>
          <w:rFonts w:ascii="Arial" w:hAnsi="Arial" w:cs="Arial"/>
          <w:sz w:val="24"/>
          <w:szCs w:val="24"/>
        </w:rPr>
        <w:t xml:space="preserve">= </w:t>
      </w:r>
      <w:proofErr w:type="gramStart"/>
      <w:r w:rsidR="005D6545">
        <w:rPr>
          <w:rFonts w:ascii="Arial" w:hAnsi="Arial" w:cs="Arial"/>
          <w:sz w:val="24"/>
          <w:szCs w:val="24"/>
        </w:rPr>
        <w:t>D</w:t>
      </w:r>
      <w:r w:rsidR="00B74482">
        <w:rPr>
          <w:rFonts w:ascii="Arial" w:hAnsi="Arial" w:cs="Arial"/>
          <w:sz w:val="24"/>
          <w:szCs w:val="24"/>
        </w:rPr>
        <w:t xml:space="preserve"> </w:t>
      </w:r>
      <w:r w:rsidR="00162F66">
        <w:rPr>
          <w:rFonts w:ascii="Arial" w:hAnsi="Arial" w:cs="Arial"/>
          <w:sz w:val="24"/>
          <w:szCs w:val="24"/>
        </w:rPr>
        <w:t xml:space="preserve"> </w:t>
      </w:r>
      <w:r w:rsidR="00B74482">
        <w:rPr>
          <w:rFonts w:ascii="Arial" w:hAnsi="Arial" w:cs="Arial"/>
          <w:sz w:val="24"/>
          <w:szCs w:val="24"/>
        </w:rPr>
        <w:t>“</w:t>
      </w:r>
      <w:proofErr w:type="gramEnd"/>
      <w:r w:rsidR="00B74482" w:rsidRPr="00C01C9B">
        <w:rPr>
          <w:rFonts w:ascii="Arial" w:hAnsi="Arial" w:cs="Arial"/>
          <w:sz w:val="24"/>
          <w:szCs w:val="24"/>
        </w:rPr>
        <w:t>Low reliability</w:t>
      </w:r>
      <w:r w:rsidR="00B74482">
        <w:rPr>
          <w:rFonts w:ascii="Arial" w:hAnsi="Arial" w:cs="Arial"/>
          <w:sz w:val="24"/>
          <w:szCs w:val="24"/>
        </w:rPr>
        <w:t>”</w:t>
      </w:r>
      <w:r w:rsidR="00AD7186">
        <w:rPr>
          <w:rFonts w:ascii="Arial" w:hAnsi="Arial" w:cs="Arial"/>
          <w:sz w:val="24"/>
          <w:szCs w:val="24"/>
        </w:rPr>
        <w:t xml:space="preserve"> and  CL_RELIABILITY codes can be used</w:t>
      </w:r>
      <w:r w:rsidR="006567FA">
        <w:rPr>
          <w:rFonts w:ascii="Arial" w:hAnsi="Arial" w:cs="Arial"/>
          <w:sz w:val="24"/>
          <w:szCs w:val="24"/>
        </w:rPr>
        <w:t xml:space="preserve"> independently</w:t>
      </w:r>
      <w:r w:rsidR="00754E78">
        <w:rPr>
          <w:rFonts w:ascii="Arial" w:hAnsi="Arial" w:cs="Arial"/>
          <w:sz w:val="24"/>
          <w:szCs w:val="24"/>
        </w:rPr>
        <w:t xml:space="preserve"> with the other codes of OBS_STATUS</w:t>
      </w:r>
      <w:r w:rsidR="00AD7186">
        <w:rPr>
          <w:rFonts w:ascii="Arial" w:hAnsi="Arial" w:cs="Arial"/>
          <w:sz w:val="24"/>
          <w:szCs w:val="24"/>
        </w:rPr>
        <w:t xml:space="preserve">.  </w:t>
      </w:r>
      <w:r w:rsidR="00162F66">
        <w:rPr>
          <w:rFonts w:ascii="Arial" w:hAnsi="Arial" w:cs="Arial"/>
          <w:sz w:val="24"/>
          <w:szCs w:val="24"/>
        </w:rPr>
        <w:t xml:space="preserve"> </w:t>
      </w:r>
    </w:p>
    <w:p w14:paraId="0060DC8D" w14:textId="560354C5" w:rsidR="00AE52BC" w:rsidRPr="00E07D77" w:rsidRDefault="00686A38" w:rsidP="00CF006C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523430">
        <w:rPr>
          <w:rFonts w:ascii="Arial" w:hAnsi="Arial" w:cs="Arial"/>
          <w:sz w:val="24"/>
          <w:szCs w:val="24"/>
        </w:rPr>
        <w:t xml:space="preserve">Food Waste Index </w:t>
      </w:r>
      <w:r>
        <w:rPr>
          <w:rFonts w:ascii="Arial" w:hAnsi="Arial" w:cs="Arial"/>
          <w:sz w:val="24"/>
          <w:szCs w:val="24"/>
        </w:rPr>
        <w:t xml:space="preserve">data </w:t>
      </w:r>
      <w:r w:rsidR="00523430">
        <w:rPr>
          <w:rFonts w:ascii="Arial" w:hAnsi="Arial" w:cs="Arial"/>
          <w:sz w:val="24"/>
          <w:szCs w:val="24"/>
        </w:rPr>
        <w:t>under SDG Indicator 12.3.1b</w:t>
      </w:r>
      <w:r>
        <w:rPr>
          <w:rFonts w:ascii="Arial" w:hAnsi="Arial" w:cs="Arial"/>
          <w:sz w:val="24"/>
          <w:szCs w:val="24"/>
        </w:rPr>
        <w:t xml:space="preserve"> uses </w:t>
      </w:r>
      <w:r w:rsidR="003E5136">
        <w:rPr>
          <w:rFonts w:ascii="Arial" w:hAnsi="Arial" w:cs="Arial"/>
          <w:sz w:val="24"/>
          <w:szCs w:val="24"/>
        </w:rPr>
        <w:t xml:space="preserve">the </w:t>
      </w:r>
      <w:r w:rsidR="0086612E">
        <w:rPr>
          <w:rFonts w:ascii="Arial" w:hAnsi="Arial" w:cs="Arial"/>
          <w:sz w:val="24"/>
          <w:szCs w:val="24"/>
        </w:rPr>
        <w:t xml:space="preserve">OBS_STATUS = E </w:t>
      </w:r>
      <w:r w:rsidR="008D620A">
        <w:rPr>
          <w:rFonts w:ascii="Arial" w:hAnsi="Arial" w:cs="Arial"/>
          <w:sz w:val="24"/>
          <w:szCs w:val="24"/>
        </w:rPr>
        <w:t>“</w:t>
      </w:r>
      <w:r w:rsidR="002C1766">
        <w:rPr>
          <w:rFonts w:ascii="Arial" w:hAnsi="Arial" w:cs="Arial"/>
          <w:sz w:val="24"/>
          <w:szCs w:val="24"/>
        </w:rPr>
        <w:t>Estimated</w:t>
      </w:r>
      <w:r w:rsidR="008D620A">
        <w:rPr>
          <w:rFonts w:ascii="Arial" w:hAnsi="Arial" w:cs="Arial"/>
          <w:sz w:val="24"/>
          <w:szCs w:val="24"/>
        </w:rPr>
        <w:t xml:space="preserve">” </w:t>
      </w:r>
      <w:r w:rsidR="0086612E">
        <w:rPr>
          <w:rFonts w:ascii="Arial" w:hAnsi="Arial" w:cs="Arial"/>
          <w:sz w:val="24"/>
          <w:szCs w:val="24"/>
        </w:rPr>
        <w:t xml:space="preserve">and the CL_RELIABILITY </w:t>
      </w:r>
      <w:r w:rsidR="003B13A4">
        <w:rPr>
          <w:rFonts w:ascii="Arial" w:hAnsi="Arial" w:cs="Arial"/>
          <w:sz w:val="24"/>
          <w:szCs w:val="24"/>
        </w:rPr>
        <w:t xml:space="preserve">codes </w:t>
      </w:r>
      <w:r w:rsidR="003E5136">
        <w:rPr>
          <w:rFonts w:ascii="Arial" w:hAnsi="Arial" w:cs="Arial"/>
          <w:sz w:val="24"/>
          <w:szCs w:val="24"/>
        </w:rPr>
        <w:t xml:space="preserve">can be used independently and may vary by observation </w:t>
      </w:r>
      <w:r w:rsidR="003B13A4">
        <w:rPr>
          <w:rFonts w:ascii="Arial" w:hAnsi="Arial" w:cs="Arial"/>
          <w:sz w:val="24"/>
          <w:szCs w:val="24"/>
        </w:rPr>
        <w:t xml:space="preserve">from </w:t>
      </w:r>
      <w:r w:rsidR="00346392">
        <w:rPr>
          <w:rFonts w:ascii="Arial" w:hAnsi="Arial" w:cs="Arial"/>
          <w:sz w:val="24"/>
          <w:szCs w:val="24"/>
        </w:rPr>
        <w:t>B</w:t>
      </w:r>
      <w:r w:rsidR="003E5136">
        <w:rPr>
          <w:rFonts w:ascii="Arial" w:hAnsi="Arial" w:cs="Arial"/>
          <w:sz w:val="24"/>
          <w:szCs w:val="24"/>
        </w:rPr>
        <w:t xml:space="preserve"> “</w:t>
      </w:r>
      <w:r w:rsidR="003E5136" w:rsidRPr="00E07D77">
        <w:rPr>
          <w:rFonts w:ascii="Arial" w:hAnsi="Arial" w:cs="Arial"/>
          <w:sz w:val="24"/>
          <w:szCs w:val="24"/>
        </w:rPr>
        <w:t>High reliability</w:t>
      </w:r>
      <w:r w:rsidR="003E5136">
        <w:rPr>
          <w:rFonts w:ascii="Arial" w:hAnsi="Arial" w:cs="Arial"/>
          <w:sz w:val="24"/>
          <w:szCs w:val="24"/>
        </w:rPr>
        <w:t>”</w:t>
      </w:r>
      <w:r w:rsidR="003B13A4">
        <w:rPr>
          <w:rFonts w:ascii="Arial" w:hAnsi="Arial" w:cs="Arial"/>
          <w:sz w:val="24"/>
          <w:szCs w:val="24"/>
        </w:rPr>
        <w:t xml:space="preserve"> to </w:t>
      </w:r>
      <w:r w:rsidR="00346392">
        <w:rPr>
          <w:rFonts w:ascii="Arial" w:hAnsi="Arial" w:cs="Arial"/>
          <w:sz w:val="24"/>
          <w:szCs w:val="24"/>
        </w:rPr>
        <w:t>E</w:t>
      </w:r>
      <w:r w:rsidR="00E07D77">
        <w:rPr>
          <w:rFonts w:ascii="Arial" w:hAnsi="Arial" w:cs="Arial"/>
          <w:sz w:val="24"/>
          <w:szCs w:val="24"/>
        </w:rPr>
        <w:t xml:space="preserve"> “</w:t>
      </w:r>
      <w:r w:rsidR="00E07D77" w:rsidRPr="00E07D77">
        <w:rPr>
          <w:rFonts w:ascii="Arial" w:hAnsi="Arial" w:cs="Arial"/>
          <w:sz w:val="24"/>
          <w:szCs w:val="24"/>
        </w:rPr>
        <w:t>Very low reliability</w:t>
      </w:r>
      <w:r w:rsidR="00E07D77">
        <w:rPr>
          <w:rFonts w:ascii="Arial" w:hAnsi="Arial" w:cs="Arial"/>
          <w:sz w:val="24"/>
          <w:szCs w:val="24"/>
        </w:rPr>
        <w:t>”</w:t>
      </w:r>
      <w:r w:rsidR="003B13A4">
        <w:rPr>
          <w:rFonts w:ascii="Arial" w:hAnsi="Arial" w:cs="Arial"/>
          <w:sz w:val="24"/>
          <w:szCs w:val="24"/>
        </w:rPr>
        <w:t>.</w:t>
      </w:r>
      <w:r w:rsidR="00523430">
        <w:rPr>
          <w:rFonts w:ascii="Arial" w:hAnsi="Arial" w:cs="Arial"/>
          <w:sz w:val="24"/>
          <w:szCs w:val="24"/>
        </w:rPr>
        <w:t xml:space="preserve"> </w:t>
      </w:r>
    </w:p>
    <w:p w14:paraId="3B08A233" w14:textId="1D993FB3" w:rsidR="0027387D" w:rsidRPr="000E149B" w:rsidRDefault="00412DD8" w:rsidP="00CF006C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0E149B">
        <w:rPr>
          <w:rFonts w:ascii="Arial" w:hAnsi="Arial" w:cs="Arial"/>
          <w:b/>
          <w:bCs/>
          <w:sz w:val="24"/>
          <w:szCs w:val="24"/>
        </w:rPr>
        <w:lastRenderedPageBreak/>
        <w:t xml:space="preserve">Additional </w:t>
      </w:r>
      <w:r w:rsidR="009A1D75" w:rsidRPr="000E149B">
        <w:rPr>
          <w:rFonts w:ascii="Arial" w:hAnsi="Arial" w:cs="Arial"/>
          <w:b/>
          <w:bCs/>
          <w:sz w:val="24"/>
          <w:szCs w:val="24"/>
        </w:rPr>
        <w:t xml:space="preserve">Reference </w:t>
      </w:r>
      <w:r w:rsidR="0027387D" w:rsidRPr="000E149B">
        <w:rPr>
          <w:rFonts w:ascii="Arial" w:hAnsi="Arial" w:cs="Arial"/>
          <w:b/>
          <w:bCs/>
          <w:sz w:val="24"/>
          <w:szCs w:val="24"/>
        </w:rPr>
        <w:t>Metadata</w:t>
      </w:r>
      <w:r w:rsidR="00F534FB" w:rsidRPr="000E149B">
        <w:rPr>
          <w:rFonts w:ascii="Arial" w:hAnsi="Arial" w:cs="Arial"/>
          <w:b/>
          <w:bCs/>
          <w:sz w:val="24"/>
          <w:szCs w:val="24"/>
        </w:rPr>
        <w:t xml:space="preserve"> in the Food Waste Index</w:t>
      </w:r>
      <w:r w:rsidR="009A1D75" w:rsidRPr="000E149B">
        <w:rPr>
          <w:rFonts w:ascii="Arial" w:hAnsi="Arial" w:cs="Arial"/>
          <w:b/>
          <w:bCs/>
          <w:sz w:val="24"/>
          <w:szCs w:val="24"/>
        </w:rPr>
        <w:t xml:space="preserve"> </w:t>
      </w:r>
      <w:r w:rsidR="00CA51D3">
        <w:rPr>
          <w:rFonts w:ascii="Arial" w:hAnsi="Arial" w:cs="Arial"/>
          <w:b/>
          <w:bCs/>
          <w:sz w:val="24"/>
          <w:szCs w:val="24"/>
        </w:rPr>
        <w:t xml:space="preserve">Report </w:t>
      </w:r>
      <w:r w:rsidR="009A1D75" w:rsidRPr="000E149B">
        <w:rPr>
          <w:rFonts w:ascii="Arial" w:hAnsi="Arial" w:cs="Arial"/>
          <w:b/>
          <w:bCs/>
          <w:sz w:val="24"/>
          <w:szCs w:val="24"/>
        </w:rPr>
        <w:t>2021</w:t>
      </w:r>
      <w:r w:rsidR="00AD648B">
        <w:rPr>
          <w:rStyle w:val="FootnoteReference"/>
          <w:rFonts w:ascii="Arial" w:hAnsi="Arial"/>
          <w:b/>
          <w:bCs/>
          <w:sz w:val="24"/>
          <w:szCs w:val="24"/>
        </w:rPr>
        <w:footnoteReference w:id="3"/>
      </w:r>
    </w:p>
    <w:p w14:paraId="438F3DE6" w14:textId="3985B17E" w:rsidR="00AF2175" w:rsidRPr="000E149B" w:rsidRDefault="00AF2175" w:rsidP="00895C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E149B">
        <w:rPr>
          <w:rFonts w:ascii="Arial" w:hAnsi="Arial" w:cs="Arial"/>
          <w:i/>
          <w:iCs/>
          <w:sz w:val="24"/>
          <w:szCs w:val="24"/>
        </w:rPr>
        <w:t>High confidence estimates:</w:t>
      </w:r>
      <w:r w:rsidRPr="000E149B">
        <w:rPr>
          <w:rFonts w:ascii="Arial" w:hAnsi="Arial" w:cs="Arial"/>
          <w:sz w:val="24"/>
          <w:szCs w:val="24"/>
        </w:rPr>
        <w:t xml:space="preserve"> developed</w:t>
      </w:r>
      <w:r w:rsidR="00895CDC" w:rsidRPr="000E149B">
        <w:rPr>
          <w:rFonts w:ascii="Arial" w:hAnsi="Arial" w:cs="Arial"/>
          <w:sz w:val="24"/>
          <w:szCs w:val="24"/>
        </w:rPr>
        <w:t xml:space="preserve"> </w:t>
      </w:r>
      <w:r w:rsidRPr="000E149B">
        <w:rPr>
          <w:rFonts w:ascii="Arial" w:hAnsi="Arial" w:cs="Arial"/>
          <w:sz w:val="24"/>
          <w:szCs w:val="24"/>
        </w:rPr>
        <w:t>using a robust methodology, covering a substantial</w:t>
      </w:r>
      <w:r w:rsidR="00895CDC" w:rsidRPr="000E149B">
        <w:rPr>
          <w:rFonts w:ascii="Arial" w:hAnsi="Arial" w:cs="Arial"/>
          <w:sz w:val="24"/>
          <w:szCs w:val="24"/>
        </w:rPr>
        <w:t xml:space="preserve"> </w:t>
      </w:r>
      <w:r w:rsidRPr="000E149B">
        <w:rPr>
          <w:rFonts w:ascii="Arial" w:hAnsi="Arial" w:cs="Arial"/>
          <w:sz w:val="24"/>
          <w:szCs w:val="24"/>
        </w:rPr>
        <w:t xml:space="preserve">part of the country and with no </w:t>
      </w:r>
      <w:r w:rsidR="00895CDC" w:rsidRPr="000E149B">
        <w:rPr>
          <w:rFonts w:ascii="Arial" w:hAnsi="Arial" w:cs="Arial"/>
          <w:sz w:val="24"/>
          <w:szCs w:val="24"/>
        </w:rPr>
        <w:t>a</w:t>
      </w:r>
      <w:r w:rsidRPr="000E149B">
        <w:rPr>
          <w:rFonts w:ascii="Arial" w:hAnsi="Arial" w:cs="Arial"/>
          <w:sz w:val="24"/>
          <w:szCs w:val="24"/>
        </w:rPr>
        <w:t>djustment of the</w:t>
      </w:r>
      <w:r w:rsidR="00895CDC" w:rsidRPr="000E149B">
        <w:rPr>
          <w:rFonts w:ascii="Arial" w:hAnsi="Arial" w:cs="Arial"/>
          <w:sz w:val="24"/>
          <w:szCs w:val="24"/>
        </w:rPr>
        <w:t xml:space="preserve"> </w:t>
      </w:r>
      <w:r w:rsidRPr="000E149B">
        <w:rPr>
          <w:rFonts w:ascii="Arial" w:hAnsi="Arial" w:cs="Arial"/>
          <w:sz w:val="24"/>
          <w:szCs w:val="24"/>
        </w:rPr>
        <w:t>data required to align it with the current studies’</w:t>
      </w:r>
      <w:r w:rsidR="00895CDC" w:rsidRPr="000E149B">
        <w:rPr>
          <w:rFonts w:ascii="Arial" w:hAnsi="Arial" w:cs="Arial"/>
          <w:sz w:val="24"/>
          <w:szCs w:val="24"/>
        </w:rPr>
        <w:t xml:space="preserve"> </w:t>
      </w:r>
      <w:r w:rsidRPr="000E149B">
        <w:rPr>
          <w:rFonts w:ascii="Arial" w:hAnsi="Arial" w:cs="Arial"/>
          <w:sz w:val="24"/>
          <w:szCs w:val="24"/>
        </w:rPr>
        <w:t>purposes; and</w:t>
      </w:r>
    </w:p>
    <w:p w14:paraId="29E683CC" w14:textId="77777777" w:rsidR="00516135" w:rsidRPr="000E149B" w:rsidRDefault="00516135" w:rsidP="00AF21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7BDC5A" w14:textId="1248D534" w:rsidR="00AF2175" w:rsidRPr="000E149B" w:rsidRDefault="00AF2175" w:rsidP="000E14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E149B">
        <w:rPr>
          <w:rFonts w:ascii="Arial" w:hAnsi="Arial" w:cs="Arial"/>
          <w:i/>
          <w:iCs/>
          <w:sz w:val="24"/>
          <w:szCs w:val="24"/>
        </w:rPr>
        <w:t>Medium confidence estimates:</w:t>
      </w:r>
      <w:r w:rsidRPr="000E149B">
        <w:rPr>
          <w:rFonts w:ascii="Arial" w:hAnsi="Arial" w:cs="Arial"/>
          <w:sz w:val="24"/>
          <w:szCs w:val="24"/>
        </w:rPr>
        <w:t xml:space="preserve"> measured using</w:t>
      </w:r>
      <w:r w:rsidR="00895CDC" w:rsidRPr="000E149B">
        <w:rPr>
          <w:rFonts w:ascii="Arial" w:hAnsi="Arial" w:cs="Arial"/>
          <w:sz w:val="24"/>
          <w:szCs w:val="24"/>
        </w:rPr>
        <w:t xml:space="preserve"> </w:t>
      </w:r>
      <w:r w:rsidRPr="000E149B">
        <w:rPr>
          <w:rFonts w:ascii="Arial" w:hAnsi="Arial" w:cs="Arial"/>
          <w:sz w:val="24"/>
          <w:szCs w:val="24"/>
        </w:rPr>
        <w:t>methodologies that may be suitable for detecting</w:t>
      </w:r>
      <w:r w:rsidR="000E149B">
        <w:rPr>
          <w:rFonts w:ascii="Arial" w:hAnsi="Arial" w:cs="Arial"/>
          <w:sz w:val="24"/>
          <w:szCs w:val="24"/>
        </w:rPr>
        <w:t xml:space="preserve"> </w:t>
      </w:r>
      <w:r w:rsidRPr="000E149B">
        <w:rPr>
          <w:rFonts w:ascii="Arial" w:hAnsi="Arial" w:cs="Arial"/>
          <w:sz w:val="24"/>
          <w:szCs w:val="24"/>
        </w:rPr>
        <w:t>larger changes in food waste, e.g., data points</w:t>
      </w:r>
      <w:r w:rsidR="00895CDC" w:rsidRPr="000E149B">
        <w:rPr>
          <w:rFonts w:ascii="Arial" w:hAnsi="Arial" w:cs="Arial"/>
          <w:sz w:val="24"/>
          <w:szCs w:val="24"/>
        </w:rPr>
        <w:t xml:space="preserve"> </w:t>
      </w:r>
      <w:r w:rsidRPr="000E149B">
        <w:rPr>
          <w:rFonts w:ascii="Arial" w:hAnsi="Arial" w:cs="Arial"/>
          <w:sz w:val="24"/>
          <w:szCs w:val="24"/>
        </w:rPr>
        <w:t>from cities used to represent a country, data points</w:t>
      </w:r>
      <w:r w:rsidR="000E149B">
        <w:rPr>
          <w:rFonts w:ascii="Arial" w:hAnsi="Arial" w:cs="Arial"/>
          <w:sz w:val="24"/>
          <w:szCs w:val="24"/>
        </w:rPr>
        <w:t xml:space="preserve"> </w:t>
      </w:r>
      <w:r w:rsidRPr="000E149B">
        <w:rPr>
          <w:rFonts w:ascii="Arial" w:hAnsi="Arial" w:cs="Arial"/>
          <w:sz w:val="24"/>
          <w:szCs w:val="24"/>
        </w:rPr>
        <w:t>requiring adjustment to align with the current studies’</w:t>
      </w:r>
      <w:r w:rsidR="00895CDC" w:rsidRPr="000E149B">
        <w:rPr>
          <w:rFonts w:ascii="Arial" w:hAnsi="Arial" w:cs="Arial"/>
          <w:sz w:val="24"/>
          <w:szCs w:val="24"/>
        </w:rPr>
        <w:t xml:space="preserve"> </w:t>
      </w:r>
      <w:r w:rsidRPr="000E149B">
        <w:rPr>
          <w:rFonts w:ascii="Arial" w:hAnsi="Arial" w:cs="Arial"/>
          <w:sz w:val="24"/>
          <w:szCs w:val="24"/>
        </w:rPr>
        <w:t>purposes.</w:t>
      </w:r>
    </w:p>
    <w:p w14:paraId="7FFF1B61" w14:textId="78CA464E" w:rsidR="00451115" w:rsidRPr="000E149B" w:rsidRDefault="00451115" w:rsidP="00895C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2F81819" w14:textId="123F1B52" w:rsidR="00451115" w:rsidRPr="000E149B" w:rsidRDefault="00451115" w:rsidP="00895C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E149B">
        <w:rPr>
          <w:rFonts w:ascii="Arial" w:hAnsi="Arial" w:cs="Arial"/>
          <w:sz w:val="24"/>
          <w:szCs w:val="24"/>
        </w:rPr>
        <w:t>Low confidence estimates:</w:t>
      </w:r>
      <w:r w:rsidR="001C285C" w:rsidRPr="000E149B">
        <w:rPr>
          <w:rFonts w:ascii="Arial" w:hAnsi="Arial" w:cs="Arial"/>
          <w:sz w:val="24"/>
          <w:szCs w:val="24"/>
        </w:rPr>
        <w:t xml:space="preserve"> </w:t>
      </w:r>
      <w:r w:rsidR="00DB2013" w:rsidRPr="000E149B">
        <w:rPr>
          <w:rFonts w:ascii="Arial" w:hAnsi="Arial" w:cs="Arial"/>
          <w:sz w:val="24"/>
          <w:szCs w:val="24"/>
        </w:rPr>
        <w:t>extrapolation</w:t>
      </w:r>
      <w:r w:rsidR="00601962" w:rsidRPr="000E149B">
        <w:rPr>
          <w:rFonts w:ascii="Arial" w:hAnsi="Arial" w:cs="Arial"/>
          <w:sz w:val="24"/>
          <w:szCs w:val="24"/>
        </w:rPr>
        <w:t xml:space="preserve"> from estimates from at least 10 similar countries, of which at least five are in the same region</w:t>
      </w:r>
    </w:p>
    <w:p w14:paraId="68EF62A3" w14:textId="77777777" w:rsidR="00855F1F" w:rsidRPr="000E149B" w:rsidRDefault="00855F1F" w:rsidP="004511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CC89BC8" w14:textId="5057001A" w:rsidR="008978C2" w:rsidRDefault="00451115" w:rsidP="00674E5E">
      <w:pPr>
        <w:autoSpaceDE w:val="0"/>
        <w:autoSpaceDN w:val="0"/>
        <w:adjustRightInd w:val="0"/>
        <w:spacing w:after="0" w:line="240" w:lineRule="auto"/>
      </w:pPr>
      <w:r w:rsidRPr="000E149B">
        <w:rPr>
          <w:rFonts w:ascii="Arial" w:hAnsi="Arial" w:cs="Arial"/>
          <w:sz w:val="24"/>
          <w:szCs w:val="24"/>
        </w:rPr>
        <w:t>Very low confidence estimates:</w:t>
      </w:r>
      <w:r w:rsidR="00C117DD" w:rsidRPr="000E149B">
        <w:rPr>
          <w:rFonts w:ascii="Arial" w:hAnsi="Arial" w:cs="Arial"/>
          <w:sz w:val="24"/>
          <w:szCs w:val="24"/>
        </w:rPr>
        <w:t xml:space="preserve"> All others: Extrapolation from few than 10 estimates or fewer than five from the sa</w:t>
      </w:r>
      <w:r w:rsidR="00855F1F" w:rsidRPr="000E149B">
        <w:rPr>
          <w:rFonts w:ascii="Arial" w:hAnsi="Arial" w:cs="Arial"/>
          <w:sz w:val="24"/>
          <w:szCs w:val="24"/>
        </w:rPr>
        <w:t>me region</w:t>
      </w:r>
    </w:p>
    <w:p w14:paraId="12F51B66" w14:textId="6028C22A" w:rsidR="008978C2" w:rsidRDefault="008978C2" w:rsidP="00451115">
      <w:pPr>
        <w:autoSpaceDE w:val="0"/>
        <w:autoSpaceDN w:val="0"/>
        <w:adjustRightInd w:val="0"/>
        <w:spacing w:after="0" w:line="240" w:lineRule="auto"/>
      </w:pPr>
    </w:p>
    <w:p w14:paraId="46E4ADF5" w14:textId="11010A60" w:rsidR="00451115" w:rsidRPr="007335AB" w:rsidRDefault="007335AB" w:rsidP="00C530F5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16"/>
          <w:szCs w:val="16"/>
        </w:rPr>
      </w:pPr>
      <w:r w:rsidRPr="007335AB">
        <w:rPr>
          <w:rFonts w:ascii="Arial" w:hAnsi="Arial" w:cs="Arial"/>
          <w:sz w:val="16"/>
          <w:szCs w:val="16"/>
        </w:rPr>
        <w:t>https://www.unep.org/resources/report/unep-food-waste-index-report-2021</w:t>
      </w:r>
    </w:p>
    <w:sectPr w:rsidR="00451115" w:rsidRPr="007335AB" w:rsidSect="000515AD">
      <w:footerReference w:type="default" r:id="rId12"/>
      <w:pgSz w:w="11906" w:h="16838"/>
      <w:pgMar w:top="1389" w:right="1440" w:bottom="138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2F5B5" w14:textId="77777777" w:rsidR="004870B1" w:rsidRDefault="004870B1" w:rsidP="0054121C">
      <w:pPr>
        <w:spacing w:after="0" w:line="240" w:lineRule="auto"/>
      </w:pPr>
      <w:r>
        <w:separator/>
      </w:r>
    </w:p>
  </w:endnote>
  <w:endnote w:type="continuationSeparator" w:id="0">
    <w:p w14:paraId="15ACDAEA" w14:textId="77777777" w:rsidR="004870B1" w:rsidRDefault="004870B1" w:rsidP="0054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ndnya">
    <w:altName w:val="Cambria"/>
    <w:panose1 w:val="00000400000000000000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66C5C" w14:textId="128F7301" w:rsidR="00804390" w:rsidRPr="0054121C" w:rsidRDefault="00804390" w:rsidP="002A5DE1">
    <w:pPr>
      <w:pStyle w:val="Footer"/>
      <w:pBdr>
        <w:top w:val="thinThickSmallGap" w:sz="24" w:space="1" w:color="622423"/>
      </w:pBdr>
      <w:tabs>
        <w:tab w:val="clear" w:pos="4513"/>
      </w:tabs>
      <w:jc w:val="center"/>
      <w:rPr>
        <w:rFonts w:ascii="Cambria" w:hAnsi="Cambria"/>
      </w:rPr>
    </w:pPr>
    <w:r w:rsidRPr="0054121C">
      <w:rPr>
        <w:rFonts w:ascii="Cambria" w:hAnsi="Cambria"/>
      </w:rPr>
      <w:t xml:space="preserve">Page </w:t>
    </w:r>
    <w:r w:rsidR="00E04AF3">
      <w:fldChar w:fldCharType="begin"/>
    </w:r>
    <w:r w:rsidR="00E04AF3">
      <w:instrText xml:space="preserve"> PAGE   \* MERGEFORMAT </w:instrText>
    </w:r>
    <w:r w:rsidR="00E04AF3">
      <w:fldChar w:fldCharType="separate"/>
    </w:r>
    <w:r w:rsidR="006F39C6" w:rsidRPr="006F39C6">
      <w:rPr>
        <w:rFonts w:ascii="Cambria" w:hAnsi="Cambria"/>
        <w:noProof/>
      </w:rPr>
      <w:t>3</w:t>
    </w:r>
    <w:r w:rsidR="00E04AF3">
      <w:rPr>
        <w:rFonts w:ascii="Cambria" w:hAnsi="Cambria"/>
        <w:noProof/>
      </w:rPr>
      <w:fldChar w:fldCharType="end"/>
    </w:r>
  </w:p>
  <w:p w14:paraId="7CB7E879" w14:textId="77777777" w:rsidR="00804390" w:rsidRDefault="00804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28EC3" w14:textId="77777777" w:rsidR="004870B1" w:rsidRDefault="004870B1" w:rsidP="0054121C">
      <w:pPr>
        <w:spacing w:after="0" w:line="240" w:lineRule="auto"/>
      </w:pPr>
      <w:r>
        <w:separator/>
      </w:r>
    </w:p>
  </w:footnote>
  <w:footnote w:type="continuationSeparator" w:id="0">
    <w:p w14:paraId="7C72919C" w14:textId="77777777" w:rsidR="004870B1" w:rsidRDefault="004870B1" w:rsidP="0054121C">
      <w:pPr>
        <w:spacing w:after="0" w:line="240" w:lineRule="auto"/>
      </w:pPr>
      <w:r>
        <w:continuationSeparator/>
      </w:r>
    </w:p>
  </w:footnote>
  <w:footnote w:id="1">
    <w:p w14:paraId="2407A79F" w14:textId="2B7487B1" w:rsidR="00EE7DB4" w:rsidRPr="00EE7DB4" w:rsidRDefault="00EE7DB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515B3" w:rsidRPr="004515B3">
        <w:t>https://stats.oecd.org/glossary/detail.asp?ID=5120#:~:text=OECD%20Statistics,to%20the%20subsequent%20estimated%20values.</w:t>
      </w:r>
    </w:p>
  </w:footnote>
  <w:footnote w:id="2">
    <w:p w14:paraId="2A1758B9" w14:textId="288BFE52" w:rsidR="00804390" w:rsidRPr="001C5EEB" w:rsidRDefault="00804390" w:rsidP="006372FB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 w:rsidRPr="006372FB">
        <w:rPr>
          <w:lang w:val="fr-BE"/>
        </w:rPr>
        <w:t xml:space="preserve"> Documents </w:t>
      </w:r>
      <w:proofErr w:type="spellStart"/>
      <w:r w:rsidRPr="006372FB">
        <w:rPr>
          <w:lang w:val="fr-BE"/>
        </w:rPr>
        <w:t>available</w:t>
      </w:r>
      <w:proofErr w:type="spellEnd"/>
      <w:r w:rsidRPr="006372FB">
        <w:rPr>
          <w:lang w:val="fr-BE"/>
        </w:rPr>
        <w:t xml:space="preserve"> </w:t>
      </w:r>
      <w:proofErr w:type="spellStart"/>
      <w:r w:rsidRPr="006372FB">
        <w:rPr>
          <w:lang w:val="fr-BE"/>
        </w:rPr>
        <w:t>from</w:t>
      </w:r>
      <w:proofErr w:type="spellEnd"/>
      <w:r w:rsidRPr="006372FB">
        <w:rPr>
          <w:lang w:val="fr-BE"/>
        </w:rPr>
        <w:t xml:space="preserve">: </w:t>
      </w:r>
      <w:r w:rsidR="00345C93" w:rsidRPr="00345C93">
        <w:rPr>
          <w:lang w:val="fr-BE"/>
        </w:rPr>
        <w:t>https://sdmx.org/?page_id=4345</w:t>
      </w:r>
      <w:r>
        <w:rPr>
          <w:lang w:val="fr-BE"/>
        </w:rPr>
        <w:t xml:space="preserve"> </w:t>
      </w:r>
    </w:p>
  </w:footnote>
  <w:footnote w:id="3">
    <w:p w14:paraId="0E046082" w14:textId="72392F68" w:rsidR="0037227A" w:rsidRPr="001C5EEB" w:rsidRDefault="0037227A" w:rsidP="006372FB">
      <w:pPr>
        <w:pStyle w:val="FootnoteText"/>
        <w:rPr>
          <w:lang w:val="fr-BE"/>
        </w:rPr>
      </w:pPr>
      <w:r w:rsidRPr="006372FB">
        <w:rPr>
          <w:lang w:val="fr-BE"/>
        </w:rPr>
        <w:t xml:space="preserve"> Documents </w:t>
      </w:r>
      <w:proofErr w:type="spellStart"/>
      <w:r w:rsidRPr="006372FB">
        <w:rPr>
          <w:lang w:val="fr-BE"/>
        </w:rPr>
        <w:t>available</w:t>
      </w:r>
      <w:proofErr w:type="spellEnd"/>
      <w:r w:rsidRPr="006372FB">
        <w:rPr>
          <w:lang w:val="fr-BE"/>
        </w:rPr>
        <w:t xml:space="preserve"> </w:t>
      </w:r>
      <w:proofErr w:type="spellStart"/>
      <w:r w:rsidRPr="006372FB">
        <w:rPr>
          <w:lang w:val="fr-BE"/>
        </w:rPr>
        <w:t>from</w:t>
      </w:r>
      <w:proofErr w:type="spellEnd"/>
      <w:r w:rsidRPr="006372FB">
        <w:rPr>
          <w:lang w:val="fr-BE"/>
        </w:rPr>
        <w:t xml:space="preserve">: </w:t>
      </w:r>
      <w:r w:rsidRPr="00345C93">
        <w:rPr>
          <w:lang w:val="fr-BE"/>
        </w:rPr>
        <w:t>https://sdmx.org/?page_id=4345</w:t>
      </w:r>
      <w:r>
        <w:rPr>
          <w:lang w:val="fr-BE"/>
        </w:rPr>
        <w:t xml:space="preserve"> </w:t>
      </w:r>
    </w:p>
    <w:p w14:paraId="61517714" w14:textId="5DBBBC32" w:rsidR="00CA51D3" w:rsidRPr="007335AB" w:rsidRDefault="00CA51D3" w:rsidP="00CA51D3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16"/>
          <w:szCs w:val="16"/>
        </w:rPr>
      </w:pPr>
      <w:proofErr w:type="spellStart"/>
      <w:r w:rsidRPr="007335AB">
        <w:rPr>
          <w:rFonts w:ascii="Arial" w:hAnsi="Arial" w:cs="Arial"/>
          <w:sz w:val="16"/>
          <w:szCs w:val="16"/>
        </w:rPr>
        <w:t>ces</w:t>
      </w:r>
      <w:proofErr w:type="spellEnd"/>
      <w:r w:rsidRPr="007335AB">
        <w:rPr>
          <w:rFonts w:ascii="Arial" w:hAnsi="Arial" w:cs="Arial"/>
          <w:sz w:val="16"/>
          <w:szCs w:val="16"/>
        </w:rPr>
        <w:t>/report/unep-food-waste-index-report-2021</w:t>
      </w:r>
    </w:p>
    <w:p w14:paraId="2EFB7C13" w14:textId="0D522258" w:rsidR="00AD648B" w:rsidRPr="00CA51D3" w:rsidRDefault="00AD648B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C29D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110D3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668F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040E5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5AA12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E20F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7CA0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22D0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8AA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5F6B6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36793"/>
    <w:multiLevelType w:val="multilevel"/>
    <w:tmpl w:val="64CEBE6C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3D110F"/>
    <w:multiLevelType w:val="hybridMultilevel"/>
    <w:tmpl w:val="5DD89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97F81"/>
    <w:multiLevelType w:val="hybridMultilevel"/>
    <w:tmpl w:val="E8B4E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96FFD"/>
    <w:multiLevelType w:val="hybridMultilevel"/>
    <w:tmpl w:val="02F01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06BD2"/>
    <w:multiLevelType w:val="multilevel"/>
    <w:tmpl w:val="2C02B64C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830450"/>
    <w:multiLevelType w:val="hybridMultilevel"/>
    <w:tmpl w:val="51C0AAE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BD4B13"/>
    <w:multiLevelType w:val="hybridMultilevel"/>
    <w:tmpl w:val="A78069F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18E7C6D"/>
    <w:multiLevelType w:val="hybridMultilevel"/>
    <w:tmpl w:val="51C0AAE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9A30A63"/>
    <w:multiLevelType w:val="hybridMultilevel"/>
    <w:tmpl w:val="393ADC2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1652D31"/>
    <w:multiLevelType w:val="hybridMultilevel"/>
    <w:tmpl w:val="EB70D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56E76"/>
    <w:multiLevelType w:val="hybridMultilevel"/>
    <w:tmpl w:val="51C0AAE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0844F20"/>
    <w:multiLevelType w:val="hybridMultilevel"/>
    <w:tmpl w:val="9524EBB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16"/>
  </w:num>
  <w:num w:numId="20">
    <w:abstractNumId w:val="17"/>
  </w:num>
  <w:num w:numId="21">
    <w:abstractNumId w:val="15"/>
  </w:num>
  <w:num w:numId="22">
    <w:abstractNumId w:val="18"/>
  </w:num>
  <w:num w:numId="23">
    <w:abstractNumId w:val="20"/>
  </w:num>
  <w:num w:numId="24">
    <w:abstractNumId w:val="11"/>
  </w:num>
  <w:num w:numId="25">
    <w:abstractNumId w:val="12"/>
  </w:num>
  <w:num w:numId="26">
    <w:abstractNumId w:val="21"/>
  </w:num>
  <w:num w:numId="27">
    <w:abstractNumId w:val="9"/>
  </w:num>
  <w:num w:numId="28">
    <w:abstractNumId w:val="14"/>
  </w:num>
  <w:num w:numId="29">
    <w:abstractNumId w:val="10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9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revisionView w:markup="0"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02478"/>
    <w:rsid w:val="000017C4"/>
    <w:rsid w:val="000128E4"/>
    <w:rsid w:val="00020992"/>
    <w:rsid w:val="00020F04"/>
    <w:rsid w:val="00027A6E"/>
    <w:rsid w:val="00036D15"/>
    <w:rsid w:val="000515AD"/>
    <w:rsid w:val="0005246A"/>
    <w:rsid w:val="000603FD"/>
    <w:rsid w:val="00063A26"/>
    <w:rsid w:val="000720C9"/>
    <w:rsid w:val="00085431"/>
    <w:rsid w:val="000904F2"/>
    <w:rsid w:val="000B5200"/>
    <w:rsid w:val="000B522D"/>
    <w:rsid w:val="000B6C82"/>
    <w:rsid w:val="000E149B"/>
    <w:rsid w:val="000E1A6A"/>
    <w:rsid w:val="001106BE"/>
    <w:rsid w:val="00127EE1"/>
    <w:rsid w:val="00142846"/>
    <w:rsid w:val="00151565"/>
    <w:rsid w:val="00157C91"/>
    <w:rsid w:val="00160953"/>
    <w:rsid w:val="00162F66"/>
    <w:rsid w:val="00164845"/>
    <w:rsid w:val="00165CD7"/>
    <w:rsid w:val="001716DA"/>
    <w:rsid w:val="00183D7B"/>
    <w:rsid w:val="001A0BF1"/>
    <w:rsid w:val="001A5AB1"/>
    <w:rsid w:val="001C1494"/>
    <w:rsid w:val="001C26CB"/>
    <w:rsid w:val="001C285C"/>
    <w:rsid w:val="001C3BA7"/>
    <w:rsid w:val="001C5EEB"/>
    <w:rsid w:val="001C631B"/>
    <w:rsid w:val="001D14D2"/>
    <w:rsid w:val="001F3093"/>
    <w:rsid w:val="00202715"/>
    <w:rsid w:val="002029BD"/>
    <w:rsid w:val="00205353"/>
    <w:rsid w:val="00215B94"/>
    <w:rsid w:val="00227A65"/>
    <w:rsid w:val="002310F0"/>
    <w:rsid w:val="002321EC"/>
    <w:rsid w:val="00233C31"/>
    <w:rsid w:val="0023415D"/>
    <w:rsid w:val="002354F1"/>
    <w:rsid w:val="0024304F"/>
    <w:rsid w:val="0024489F"/>
    <w:rsid w:val="00251A53"/>
    <w:rsid w:val="0025382A"/>
    <w:rsid w:val="00256C37"/>
    <w:rsid w:val="0027387D"/>
    <w:rsid w:val="00286379"/>
    <w:rsid w:val="00290FF4"/>
    <w:rsid w:val="002947D7"/>
    <w:rsid w:val="002A18C6"/>
    <w:rsid w:val="002A5DE1"/>
    <w:rsid w:val="002C1766"/>
    <w:rsid w:val="002C235C"/>
    <w:rsid w:val="002C6BE0"/>
    <w:rsid w:val="002C796B"/>
    <w:rsid w:val="002D3D28"/>
    <w:rsid w:val="002D43E3"/>
    <w:rsid w:val="003001C9"/>
    <w:rsid w:val="0030445A"/>
    <w:rsid w:val="00324049"/>
    <w:rsid w:val="00326592"/>
    <w:rsid w:val="00337FD9"/>
    <w:rsid w:val="003444DB"/>
    <w:rsid w:val="00345C93"/>
    <w:rsid w:val="00346392"/>
    <w:rsid w:val="00350FBC"/>
    <w:rsid w:val="00352770"/>
    <w:rsid w:val="00367B97"/>
    <w:rsid w:val="0037227A"/>
    <w:rsid w:val="003744A0"/>
    <w:rsid w:val="00383E0D"/>
    <w:rsid w:val="003B13A4"/>
    <w:rsid w:val="003B64C4"/>
    <w:rsid w:val="003C0A19"/>
    <w:rsid w:val="003D08FB"/>
    <w:rsid w:val="003E2789"/>
    <w:rsid w:val="003E5136"/>
    <w:rsid w:val="003E5A8B"/>
    <w:rsid w:val="003E640F"/>
    <w:rsid w:val="003F7AC9"/>
    <w:rsid w:val="00403157"/>
    <w:rsid w:val="00412DD8"/>
    <w:rsid w:val="00414358"/>
    <w:rsid w:val="004155B1"/>
    <w:rsid w:val="00417990"/>
    <w:rsid w:val="004362FC"/>
    <w:rsid w:val="004364A5"/>
    <w:rsid w:val="00447B0D"/>
    <w:rsid w:val="00451115"/>
    <w:rsid w:val="004515B3"/>
    <w:rsid w:val="00471E43"/>
    <w:rsid w:val="0047520F"/>
    <w:rsid w:val="00475873"/>
    <w:rsid w:val="004847A6"/>
    <w:rsid w:val="004870B1"/>
    <w:rsid w:val="0049089C"/>
    <w:rsid w:val="00490ED5"/>
    <w:rsid w:val="004A13AF"/>
    <w:rsid w:val="004A5F9D"/>
    <w:rsid w:val="004B6DE1"/>
    <w:rsid w:val="004B6F1F"/>
    <w:rsid w:val="004C03EB"/>
    <w:rsid w:val="004C5398"/>
    <w:rsid w:val="004D4634"/>
    <w:rsid w:val="004D545E"/>
    <w:rsid w:val="004E1C44"/>
    <w:rsid w:val="004E4859"/>
    <w:rsid w:val="00504D95"/>
    <w:rsid w:val="00505AF1"/>
    <w:rsid w:val="00505D6B"/>
    <w:rsid w:val="00512949"/>
    <w:rsid w:val="00515EC0"/>
    <w:rsid w:val="00516135"/>
    <w:rsid w:val="00517FFC"/>
    <w:rsid w:val="00523430"/>
    <w:rsid w:val="005261F5"/>
    <w:rsid w:val="0054121C"/>
    <w:rsid w:val="005618D3"/>
    <w:rsid w:val="005773CF"/>
    <w:rsid w:val="005A151A"/>
    <w:rsid w:val="005B1B4C"/>
    <w:rsid w:val="005C529F"/>
    <w:rsid w:val="005C5837"/>
    <w:rsid w:val="005D22BA"/>
    <w:rsid w:val="005D6545"/>
    <w:rsid w:val="005E5CB1"/>
    <w:rsid w:val="006004FF"/>
    <w:rsid w:val="00600E18"/>
    <w:rsid w:val="00601962"/>
    <w:rsid w:val="00602E7A"/>
    <w:rsid w:val="00603D04"/>
    <w:rsid w:val="00604D1B"/>
    <w:rsid w:val="00604F76"/>
    <w:rsid w:val="00634743"/>
    <w:rsid w:val="006372FB"/>
    <w:rsid w:val="006567FA"/>
    <w:rsid w:val="00660147"/>
    <w:rsid w:val="00660E35"/>
    <w:rsid w:val="00662BF0"/>
    <w:rsid w:val="00670252"/>
    <w:rsid w:val="00670F94"/>
    <w:rsid w:val="00672F52"/>
    <w:rsid w:val="00674E5E"/>
    <w:rsid w:val="006756ED"/>
    <w:rsid w:val="00684E9B"/>
    <w:rsid w:val="00685E1C"/>
    <w:rsid w:val="00686A38"/>
    <w:rsid w:val="00686D06"/>
    <w:rsid w:val="006A57ED"/>
    <w:rsid w:val="006B04BB"/>
    <w:rsid w:val="006B32E2"/>
    <w:rsid w:val="006B6DCD"/>
    <w:rsid w:val="006C1933"/>
    <w:rsid w:val="006E5BF8"/>
    <w:rsid w:val="006F39C6"/>
    <w:rsid w:val="007066C2"/>
    <w:rsid w:val="0071584F"/>
    <w:rsid w:val="00717574"/>
    <w:rsid w:val="0071796A"/>
    <w:rsid w:val="00717C8C"/>
    <w:rsid w:val="00722C65"/>
    <w:rsid w:val="00724E0A"/>
    <w:rsid w:val="007261A5"/>
    <w:rsid w:val="007335AB"/>
    <w:rsid w:val="00735C31"/>
    <w:rsid w:val="0074157B"/>
    <w:rsid w:val="00754E78"/>
    <w:rsid w:val="007728FE"/>
    <w:rsid w:val="00775319"/>
    <w:rsid w:val="00784D51"/>
    <w:rsid w:val="007905E9"/>
    <w:rsid w:val="007C585E"/>
    <w:rsid w:val="007C5EEC"/>
    <w:rsid w:val="007C7D37"/>
    <w:rsid w:val="007D14A7"/>
    <w:rsid w:val="007E1B39"/>
    <w:rsid w:val="007F0AB6"/>
    <w:rsid w:val="007F2DDF"/>
    <w:rsid w:val="007F6B5E"/>
    <w:rsid w:val="00804390"/>
    <w:rsid w:val="00805A48"/>
    <w:rsid w:val="00836369"/>
    <w:rsid w:val="00852078"/>
    <w:rsid w:val="00853163"/>
    <w:rsid w:val="00855F1F"/>
    <w:rsid w:val="008569F4"/>
    <w:rsid w:val="0086612E"/>
    <w:rsid w:val="00872455"/>
    <w:rsid w:val="00887891"/>
    <w:rsid w:val="00895CDC"/>
    <w:rsid w:val="0089742B"/>
    <w:rsid w:val="008978C2"/>
    <w:rsid w:val="008A7881"/>
    <w:rsid w:val="008B3C1A"/>
    <w:rsid w:val="008C2183"/>
    <w:rsid w:val="008C523F"/>
    <w:rsid w:val="008D458A"/>
    <w:rsid w:val="008D620A"/>
    <w:rsid w:val="008D7235"/>
    <w:rsid w:val="008E0787"/>
    <w:rsid w:val="008E1722"/>
    <w:rsid w:val="008F383F"/>
    <w:rsid w:val="0090614D"/>
    <w:rsid w:val="00943605"/>
    <w:rsid w:val="009446F0"/>
    <w:rsid w:val="00945568"/>
    <w:rsid w:val="00950C50"/>
    <w:rsid w:val="00953493"/>
    <w:rsid w:val="009552C1"/>
    <w:rsid w:val="00974455"/>
    <w:rsid w:val="009A1D75"/>
    <w:rsid w:val="009A3DEC"/>
    <w:rsid w:val="009C1AF5"/>
    <w:rsid w:val="009D768B"/>
    <w:rsid w:val="009E58C5"/>
    <w:rsid w:val="009F431B"/>
    <w:rsid w:val="00A10D15"/>
    <w:rsid w:val="00A145C1"/>
    <w:rsid w:val="00A248AD"/>
    <w:rsid w:val="00A44132"/>
    <w:rsid w:val="00A4468C"/>
    <w:rsid w:val="00A4494B"/>
    <w:rsid w:val="00A50B2E"/>
    <w:rsid w:val="00A551B6"/>
    <w:rsid w:val="00A6403D"/>
    <w:rsid w:val="00A668C5"/>
    <w:rsid w:val="00A76A7A"/>
    <w:rsid w:val="00A93585"/>
    <w:rsid w:val="00AA15FA"/>
    <w:rsid w:val="00AC57A9"/>
    <w:rsid w:val="00AD648B"/>
    <w:rsid w:val="00AD7186"/>
    <w:rsid w:val="00AE4499"/>
    <w:rsid w:val="00AE52BC"/>
    <w:rsid w:val="00AF2175"/>
    <w:rsid w:val="00B025AE"/>
    <w:rsid w:val="00B07548"/>
    <w:rsid w:val="00B12CD2"/>
    <w:rsid w:val="00B21A3F"/>
    <w:rsid w:val="00B35DC2"/>
    <w:rsid w:val="00B63112"/>
    <w:rsid w:val="00B74482"/>
    <w:rsid w:val="00B76BF4"/>
    <w:rsid w:val="00B84F83"/>
    <w:rsid w:val="00BB4BFB"/>
    <w:rsid w:val="00BC706D"/>
    <w:rsid w:val="00BD134B"/>
    <w:rsid w:val="00BE4628"/>
    <w:rsid w:val="00C01C9B"/>
    <w:rsid w:val="00C10D3D"/>
    <w:rsid w:val="00C117DD"/>
    <w:rsid w:val="00C1183F"/>
    <w:rsid w:val="00C12EE7"/>
    <w:rsid w:val="00C13B6F"/>
    <w:rsid w:val="00C13C57"/>
    <w:rsid w:val="00C164C7"/>
    <w:rsid w:val="00C314BF"/>
    <w:rsid w:val="00C3175C"/>
    <w:rsid w:val="00C42526"/>
    <w:rsid w:val="00C5241E"/>
    <w:rsid w:val="00C530F5"/>
    <w:rsid w:val="00C63ACF"/>
    <w:rsid w:val="00C65A11"/>
    <w:rsid w:val="00C841D5"/>
    <w:rsid w:val="00CA51D3"/>
    <w:rsid w:val="00CA5DB0"/>
    <w:rsid w:val="00CC3EF6"/>
    <w:rsid w:val="00CC6A99"/>
    <w:rsid w:val="00CC7610"/>
    <w:rsid w:val="00CE23D4"/>
    <w:rsid w:val="00CE540C"/>
    <w:rsid w:val="00CE7ABE"/>
    <w:rsid w:val="00CF006C"/>
    <w:rsid w:val="00CF2990"/>
    <w:rsid w:val="00D00FC5"/>
    <w:rsid w:val="00D073D9"/>
    <w:rsid w:val="00D16C5C"/>
    <w:rsid w:val="00D2289B"/>
    <w:rsid w:val="00D34235"/>
    <w:rsid w:val="00D523B7"/>
    <w:rsid w:val="00D629BA"/>
    <w:rsid w:val="00D9194C"/>
    <w:rsid w:val="00D94ECC"/>
    <w:rsid w:val="00DA0508"/>
    <w:rsid w:val="00DB2013"/>
    <w:rsid w:val="00DB3AC3"/>
    <w:rsid w:val="00DB483C"/>
    <w:rsid w:val="00DB6038"/>
    <w:rsid w:val="00DC0785"/>
    <w:rsid w:val="00DC7E2C"/>
    <w:rsid w:val="00DD2703"/>
    <w:rsid w:val="00DF5A11"/>
    <w:rsid w:val="00E00E31"/>
    <w:rsid w:val="00E04AF3"/>
    <w:rsid w:val="00E07D77"/>
    <w:rsid w:val="00E128FE"/>
    <w:rsid w:val="00E16FD4"/>
    <w:rsid w:val="00E2000C"/>
    <w:rsid w:val="00E2161B"/>
    <w:rsid w:val="00E2437F"/>
    <w:rsid w:val="00E37336"/>
    <w:rsid w:val="00E72E30"/>
    <w:rsid w:val="00E764F0"/>
    <w:rsid w:val="00E77CD1"/>
    <w:rsid w:val="00E85671"/>
    <w:rsid w:val="00E86B1B"/>
    <w:rsid w:val="00E960B3"/>
    <w:rsid w:val="00EB01D0"/>
    <w:rsid w:val="00EC44B2"/>
    <w:rsid w:val="00ED578B"/>
    <w:rsid w:val="00ED6457"/>
    <w:rsid w:val="00EE7DB4"/>
    <w:rsid w:val="00EF2C23"/>
    <w:rsid w:val="00F0084A"/>
    <w:rsid w:val="00F02478"/>
    <w:rsid w:val="00F10100"/>
    <w:rsid w:val="00F3025C"/>
    <w:rsid w:val="00F51329"/>
    <w:rsid w:val="00F534FB"/>
    <w:rsid w:val="00F64017"/>
    <w:rsid w:val="00F65BCA"/>
    <w:rsid w:val="00F70B53"/>
    <w:rsid w:val="00F74896"/>
    <w:rsid w:val="00FA3A9E"/>
    <w:rsid w:val="00FB2F3E"/>
    <w:rsid w:val="00FD47BF"/>
    <w:rsid w:val="00FD508D"/>
    <w:rsid w:val="00FE2805"/>
    <w:rsid w:val="00FF0AD4"/>
    <w:rsid w:val="00FF3757"/>
    <w:rsid w:val="00FF681C"/>
    <w:rsid w:val="00FF712D"/>
    <w:rsid w:val="00FF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983F46"/>
  <w15:docId w15:val="{F0E27207-637A-401B-9C64-FBA3D88A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14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44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E485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309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F6B5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C44B2"/>
    <w:rPr>
      <w:rFonts w:ascii="Cambria" w:hAnsi="Cambria" w:cs="Times New Roman"/>
      <w:b/>
      <w:kern w:val="32"/>
      <w:sz w:val="32"/>
      <w:lang w:eastAsia="en-US"/>
    </w:rPr>
  </w:style>
  <w:style w:type="character" w:customStyle="1" w:styleId="Heading2Char">
    <w:name w:val="Heading 2 Char"/>
    <w:link w:val="Heading2"/>
    <w:uiPriority w:val="99"/>
    <w:locked/>
    <w:rsid w:val="004E4859"/>
    <w:rPr>
      <w:rFonts w:ascii="Cambria" w:hAnsi="Cambria" w:cs="Times New Roman"/>
      <w:b/>
      <w:i/>
      <w:sz w:val="28"/>
      <w:lang w:eastAsia="en-US"/>
    </w:rPr>
  </w:style>
  <w:style w:type="character" w:customStyle="1" w:styleId="Heading3Char">
    <w:name w:val="Heading 3 Char"/>
    <w:link w:val="Heading3"/>
    <w:uiPriority w:val="99"/>
    <w:locked/>
    <w:rsid w:val="001F3093"/>
    <w:rPr>
      <w:rFonts w:ascii="Cambria" w:hAnsi="Cambria" w:cs="Times New Roman"/>
      <w:b/>
      <w:bCs/>
      <w:color w:val="4F81BD"/>
      <w:sz w:val="22"/>
      <w:szCs w:val="22"/>
      <w:lang w:val="en-GB" w:eastAsia="en-US"/>
    </w:rPr>
  </w:style>
  <w:style w:type="character" w:customStyle="1" w:styleId="Heading4Char">
    <w:name w:val="Heading 4 Char"/>
    <w:link w:val="Heading4"/>
    <w:uiPriority w:val="99"/>
    <w:locked/>
    <w:rsid w:val="007F6B5E"/>
    <w:rPr>
      <w:rFonts w:ascii="Cambria" w:hAnsi="Cambria" w:cs="Times New Roman"/>
      <w:b/>
      <w:bCs/>
      <w:i/>
      <w:iCs/>
      <w:color w:val="4F81BD"/>
      <w:sz w:val="22"/>
      <w:szCs w:val="22"/>
      <w:lang w:val="en-GB" w:eastAsia="en-US"/>
    </w:rPr>
  </w:style>
  <w:style w:type="paragraph" w:customStyle="1" w:styleId="CharChar">
    <w:name w:val="Char Char"/>
    <w:basedOn w:val="Normal"/>
    <w:uiPriority w:val="99"/>
    <w:rsid w:val="00F0247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99"/>
    <w:rsid w:val="00F02478"/>
    <w:pPr>
      <w:spacing w:before="60" w:after="60" w:line="360" w:lineRule="atLeast"/>
      <w:jc w:val="both"/>
    </w:pPr>
    <w:rPr>
      <w:rFonts w:ascii="Times New Roman" w:eastAsia="Times New Roman" w:hAnsi="Times New Roman" w:cs="Sendnya"/>
      <w:lang w:eastAsia="en-GB"/>
    </w:rPr>
  </w:style>
  <w:style w:type="character" w:styleId="Hyperlink">
    <w:name w:val="Hyperlink"/>
    <w:uiPriority w:val="99"/>
    <w:rsid w:val="00784D5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4121C"/>
    <w:pPr>
      <w:tabs>
        <w:tab w:val="center" w:pos="4513"/>
        <w:tab w:val="right" w:pos="9026"/>
      </w:tabs>
    </w:pPr>
    <w:rPr>
      <w:lang w:val="en-US"/>
    </w:rPr>
  </w:style>
  <w:style w:type="character" w:customStyle="1" w:styleId="HeaderChar">
    <w:name w:val="Header Char"/>
    <w:link w:val="Header"/>
    <w:uiPriority w:val="99"/>
    <w:locked/>
    <w:rsid w:val="0054121C"/>
    <w:rPr>
      <w:rFonts w:cs="Times New Roman"/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54121C"/>
    <w:pPr>
      <w:tabs>
        <w:tab w:val="center" w:pos="4513"/>
        <w:tab w:val="right" w:pos="9026"/>
      </w:tabs>
    </w:pPr>
    <w:rPr>
      <w:lang w:val="en-US"/>
    </w:rPr>
  </w:style>
  <w:style w:type="character" w:customStyle="1" w:styleId="FooterChar">
    <w:name w:val="Footer Char"/>
    <w:link w:val="Footer"/>
    <w:uiPriority w:val="99"/>
    <w:locked/>
    <w:rsid w:val="0054121C"/>
    <w:rPr>
      <w:rFonts w:cs="Times New Roman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4121C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54121C"/>
    <w:rPr>
      <w:rFonts w:ascii="Tahoma" w:hAnsi="Tahoma" w:cs="Times New Roman"/>
      <w:sz w:val="16"/>
      <w:lang w:eastAsia="en-US"/>
    </w:rPr>
  </w:style>
  <w:style w:type="paragraph" w:styleId="PlainText">
    <w:name w:val="Plain Text"/>
    <w:basedOn w:val="Normal"/>
    <w:link w:val="PlainTextChar"/>
    <w:uiPriority w:val="99"/>
    <w:rsid w:val="004E4859"/>
    <w:pPr>
      <w:spacing w:after="0" w:line="240" w:lineRule="auto"/>
    </w:pPr>
    <w:rPr>
      <w:szCs w:val="21"/>
      <w:lang w:val="en-US"/>
    </w:rPr>
  </w:style>
  <w:style w:type="character" w:customStyle="1" w:styleId="PlainTextChar">
    <w:name w:val="Plain Text Char"/>
    <w:link w:val="PlainText"/>
    <w:uiPriority w:val="99"/>
    <w:locked/>
    <w:rsid w:val="004E4859"/>
    <w:rPr>
      <w:rFonts w:cs="Times New Roman"/>
      <w:sz w:val="21"/>
      <w:lang w:eastAsia="en-US"/>
    </w:rPr>
  </w:style>
  <w:style w:type="table" w:styleId="TableGrid">
    <w:name w:val="Table Grid"/>
    <w:basedOn w:val="TableNormal"/>
    <w:uiPriority w:val="99"/>
    <w:rsid w:val="00634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rsid w:val="00C164C7"/>
    <w:pPr>
      <w:numPr>
        <w:numId w:val="10"/>
      </w:numPr>
      <w:tabs>
        <w:tab w:val="clear" w:pos="360"/>
      </w:tabs>
      <w:contextualSpacing/>
    </w:pPr>
  </w:style>
  <w:style w:type="character" w:styleId="CommentReference">
    <w:name w:val="annotation reference"/>
    <w:uiPriority w:val="99"/>
    <w:semiHidden/>
    <w:rsid w:val="001A0BF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A0B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1A0BF1"/>
    <w:rPr>
      <w:rFonts w:cs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A0BF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A0BF1"/>
    <w:rPr>
      <w:rFonts w:cs="Times New Roman"/>
      <w:b/>
      <w:bCs/>
      <w:lang w:val="en-GB" w:eastAsia="en-US"/>
    </w:rPr>
  </w:style>
  <w:style w:type="character" w:customStyle="1" w:styleId="apple-converted-space">
    <w:name w:val="apple-converted-space"/>
    <w:uiPriority w:val="99"/>
    <w:rsid w:val="006C1933"/>
    <w:rPr>
      <w:rFonts w:cs="Times New Roman"/>
    </w:rPr>
  </w:style>
  <w:style w:type="paragraph" w:styleId="Revision">
    <w:name w:val="Revision"/>
    <w:hidden/>
    <w:uiPriority w:val="99"/>
    <w:semiHidden/>
    <w:rsid w:val="00C3175C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E764F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E764F0"/>
    <w:rPr>
      <w:rFonts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rsid w:val="00E764F0"/>
    <w:rPr>
      <w:rFonts w:cs="Times New Roman"/>
      <w:vertAlign w:val="superscript"/>
    </w:rPr>
  </w:style>
  <w:style w:type="character" w:styleId="FollowedHyperlink">
    <w:name w:val="FollowedHyperlink"/>
    <w:uiPriority w:val="99"/>
    <w:semiHidden/>
    <w:unhideWhenUsed/>
    <w:rsid w:val="00345C93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449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4494B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A449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13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E1A0713893144A00CC00F214B71AE" ma:contentTypeVersion="14" ma:contentTypeDescription="Crée un document." ma:contentTypeScope="" ma:versionID="6b7467e28b9323b7a08125763ea7d1d5">
  <xsd:schema xmlns:xsd="http://www.w3.org/2001/XMLSchema" xmlns:xs="http://www.w3.org/2001/XMLSchema" xmlns:p="http://schemas.microsoft.com/office/2006/metadata/properties" xmlns:ns3="626d4039-44a3-4f34-a939-9e74c9a193d1" xmlns:ns4="607381c3-0f53-441d-8dd9-b46e64774622" targetNamespace="http://schemas.microsoft.com/office/2006/metadata/properties" ma:root="true" ma:fieldsID="2df61abf39901a4cde1c75264d6b9f0e" ns3:_="" ns4:_="">
    <xsd:import namespace="626d4039-44a3-4f34-a939-9e74c9a193d1"/>
    <xsd:import namespace="607381c3-0f53-441d-8dd9-b46e647746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d4039-44a3-4f34-a939-9e74c9a193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381c3-0f53-441d-8dd9-b46e64774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AA02B4-24F6-4926-9E2A-78012D1935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31C25B-194F-4579-B33C-D7E1997836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8CFBFC-536E-4A60-B0DC-7883847E6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d4039-44a3-4f34-a939-9e74c9a193d1"/>
    <ds:schemaRef ds:uri="607381c3-0f53-441d-8dd9-b46e64774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7D6A7D-1C6B-4937-8755-6D8686C65D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3098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CL_GENERIC_CODE CL_OBS_STATUS revision post 08072013 discussion</vt:lpstr>
    </vt:vector>
  </TitlesOfParts>
  <Company>European Central bank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CL_GENERIC_CODE CL_OBS_STATUS revision post 08072013 discussion</dc:title>
  <dc:creator>Sosnovsky, Xavier</dc:creator>
  <cp:lastModifiedBy>Vargas, Yamil</cp:lastModifiedBy>
  <cp:revision>2</cp:revision>
  <cp:lastPrinted>2014-05-19T07:55:00Z</cp:lastPrinted>
  <dcterms:created xsi:type="dcterms:W3CDTF">2022-07-22T16:16:00Z</dcterms:created>
  <dcterms:modified xsi:type="dcterms:W3CDTF">2022-07-22T16:16:00Z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0x010100B19E1A0713893144A00CC00F214B71AE</vt:lpwstr>
  </property>
  <property fmtid="{D5CDD505-2E9C-101B-9397-08002B2CF9AE}" pid="4" name="Status">
    <vt:lpwstr>Open</vt:lpwstr>
  </property>
  <property fmtid="{D5CDD505-2E9C-101B-9397-08002B2CF9AE}" pid="5" name="_DCDateModified">
    <vt:lpwstr/>
  </property>
</Properties>
</file>