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F3EBC" w14:textId="77777777" w:rsidR="009556D6" w:rsidRPr="009A1915" w:rsidRDefault="009556D6" w:rsidP="009556D6">
      <w:pPr>
        <w:spacing w:after="120"/>
        <w:jc w:val="center"/>
        <w:rPr>
          <w:b/>
          <w:noProof/>
          <w:color w:val="0070C0"/>
          <w:lang w:eastAsia="en-GB"/>
        </w:rPr>
      </w:pPr>
      <w:r w:rsidRPr="009A1915">
        <w:rPr>
          <w:b/>
          <w:color w:val="0070C0"/>
          <w:sz w:val="28"/>
          <w:szCs w:val="28"/>
        </w:rPr>
        <w:t>SDMX STATISTICAL GUIDELINES</w:t>
      </w:r>
      <w:r w:rsidRPr="009A1915">
        <w:rPr>
          <w:b/>
          <w:noProof/>
          <w:color w:val="0070C0"/>
          <w:lang w:eastAsia="en-GB"/>
        </w:rPr>
        <w:t xml:space="preserve"> </w:t>
      </w:r>
    </w:p>
    <w:p w14:paraId="1C8F3EBD" w14:textId="77777777" w:rsidR="009556D6" w:rsidRPr="009A1915" w:rsidRDefault="009556D6" w:rsidP="009556D6">
      <w:pPr>
        <w:jc w:val="center"/>
        <w:rPr>
          <w:b/>
          <w:color w:val="0070C0"/>
          <w:sz w:val="24"/>
          <w:szCs w:val="24"/>
        </w:rPr>
      </w:pPr>
      <w:r w:rsidRPr="009A1915">
        <w:rPr>
          <w:b/>
          <w:noProof/>
          <w:color w:val="0070C0"/>
          <w:sz w:val="24"/>
          <w:szCs w:val="24"/>
          <w:lang w:eastAsia="en-GB"/>
        </w:rPr>
        <w:t>SDMX Cross-Domain Code Lists</w:t>
      </w:r>
    </w:p>
    <w:p w14:paraId="502A25AF" w14:textId="7BF4835C" w:rsidR="009A1915" w:rsidRDefault="009A1915" w:rsidP="009A1915">
      <w:pPr>
        <w:pStyle w:val="style1"/>
        <w:pBdr>
          <w:bottom w:val="single" w:sz="6" w:space="1" w:color="auto"/>
        </w:pBdr>
        <w:spacing w:before="240" w:beforeAutospacing="0" w:after="0" w:afterAutospacing="0"/>
        <w:jc w:val="both"/>
        <w:rPr>
          <w:rStyle w:val="Strong"/>
          <w:sz w:val="22"/>
        </w:rPr>
      </w:pPr>
      <w:bookmarkStart w:id="0" w:name="_Toc214886734"/>
      <w:bookmarkStart w:id="1" w:name="_Toc216764140"/>
      <w:bookmarkStart w:id="2" w:name="SEX"/>
      <w:bookmarkStart w:id="3" w:name="CL_TIME_FORMAT_EDI"/>
      <w:bookmarkStart w:id="4" w:name="CL_UNIT_MULT_SDMX"/>
      <w:bookmarkEnd w:id="2"/>
      <w:bookmarkEnd w:id="3"/>
      <w:bookmarkEnd w:id="4"/>
    </w:p>
    <w:p w14:paraId="1C8F3EBE" w14:textId="77777777" w:rsidR="00CB51D7" w:rsidRPr="009A1915" w:rsidRDefault="00CB51D7" w:rsidP="009A1915">
      <w:pPr>
        <w:pStyle w:val="Heading2"/>
      </w:pPr>
      <w:proofErr w:type="spellStart"/>
      <w:r w:rsidRPr="009A1915">
        <w:t>CL_UNIT_MULT</w:t>
      </w:r>
      <w:bookmarkEnd w:id="0"/>
      <w:bookmarkEnd w:id="1"/>
      <w:proofErr w:type="spellEnd"/>
      <w:r w:rsidRPr="009A1915">
        <w:t xml:space="preserve"> </w:t>
      </w:r>
    </w:p>
    <w:p w14:paraId="1C8F3EBF" w14:textId="77777777" w:rsidR="00E900A2" w:rsidRPr="009A1915" w:rsidRDefault="00E900A2" w:rsidP="00E900A2">
      <w:pPr>
        <w:pStyle w:val="style1"/>
        <w:jc w:val="both"/>
        <w:rPr>
          <w:rStyle w:val="Strong"/>
          <w:sz w:val="22"/>
        </w:rPr>
      </w:pPr>
      <w:r w:rsidRPr="009A1915">
        <w:rPr>
          <w:rStyle w:val="Strong"/>
          <w:sz w:val="22"/>
        </w:rPr>
        <w:t>Name</w:t>
      </w:r>
      <w:r w:rsidR="009556D6" w:rsidRPr="009A1915">
        <w:rPr>
          <w:sz w:val="22"/>
        </w:rPr>
        <w:t>: C</w:t>
      </w:r>
      <w:r w:rsidRPr="009A1915">
        <w:rPr>
          <w:sz w:val="22"/>
        </w:rPr>
        <w:t>ode list for the Unit Multiplier (UNIT_MULT)</w:t>
      </w:r>
      <w:r w:rsidR="009556D6" w:rsidRPr="009A1915">
        <w:rPr>
          <w:sz w:val="22"/>
        </w:rPr>
        <w:t>.</w:t>
      </w:r>
    </w:p>
    <w:p w14:paraId="1C8F3EC0" w14:textId="77777777" w:rsidR="00CB51D7" w:rsidRPr="009A1915" w:rsidRDefault="007B1B39" w:rsidP="00F13AB7">
      <w:pPr>
        <w:pStyle w:val="style1"/>
        <w:jc w:val="both"/>
        <w:rPr>
          <w:sz w:val="22"/>
        </w:rPr>
      </w:pPr>
      <w:r w:rsidRPr="009A1915">
        <w:rPr>
          <w:rStyle w:val="Strong"/>
          <w:sz w:val="22"/>
        </w:rPr>
        <w:t>Description</w:t>
      </w:r>
      <w:r w:rsidR="00CB51D7" w:rsidRPr="009A1915">
        <w:rPr>
          <w:sz w:val="22"/>
        </w:rPr>
        <w:t xml:space="preserve">: </w:t>
      </w:r>
      <w:r w:rsidR="009556D6" w:rsidRPr="009A1915">
        <w:rPr>
          <w:sz w:val="22"/>
        </w:rPr>
        <w:t>This code list</w:t>
      </w:r>
      <w:r w:rsidR="00CB51D7" w:rsidRPr="009A1915">
        <w:rPr>
          <w:sz w:val="22"/>
        </w:rPr>
        <w:t xml:space="preserve"> provides code values for indicating the magnitude in the units of measurement.</w:t>
      </w:r>
    </w:p>
    <w:p w14:paraId="1C8F3EC1" w14:textId="5B78AD39" w:rsidR="009556D6" w:rsidRPr="009A1915" w:rsidRDefault="009556D6" w:rsidP="009556D6">
      <w:pPr>
        <w:pStyle w:val="style1"/>
        <w:spacing w:before="120" w:beforeAutospacing="0" w:after="240" w:afterAutospacing="0"/>
        <w:jc w:val="both"/>
        <w:rPr>
          <w:b/>
          <w:sz w:val="22"/>
        </w:rPr>
      </w:pPr>
      <w:r w:rsidRPr="009A1915">
        <w:rPr>
          <w:b/>
          <w:sz w:val="22"/>
        </w:rPr>
        <w:t>Version</w:t>
      </w:r>
      <w:r w:rsidRPr="009A1915">
        <w:rPr>
          <w:sz w:val="22"/>
        </w:rPr>
        <w:t>: 1.</w:t>
      </w:r>
      <w:r w:rsidR="006E31A0" w:rsidRPr="009A1915">
        <w:rPr>
          <w:sz w:val="22"/>
        </w:rPr>
        <w:t>1</w:t>
      </w:r>
      <w:r w:rsidRPr="009A1915">
        <w:rPr>
          <w:sz w:val="22"/>
        </w:rPr>
        <w:t>.</w:t>
      </w:r>
    </w:p>
    <w:p w14:paraId="1C8F3EC2" w14:textId="3F9A5BD1" w:rsidR="009556D6" w:rsidRPr="009A1915" w:rsidRDefault="009556D6" w:rsidP="009556D6">
      <w:pPr>
        <w:pStyle w:val="style1"/>
        <w:spacing w:before="0" w:beforeAutospacing="0" w:after="360" w:afterAutospacing="0"/>
        <w:jc w:val="both"/>
        <w:rPr>
          <w:b/>
          <w:sz w:val="22"/>
        </w:rPr>
      </w:pPr>
      <w:r w:rsidRPr="009A1915">
        <w:rPr>
          <w:b/>
          <w:sz w:val="22"/>
        </w:rPr>
        <w:t>Date</w:t>
      </w:r>
      <w:r w:rsidRPr="009A1915">
        <w:rPr>
          <w:sz w:val="22"/>
        </w:rPr>
        <w:t xml:space="preserve">: </w:t>
      </w:r>
      <w:r w:rsidR="00A004A1" w:rsidRPr="009A1915">
        <w:rPr>
          <w:sz w:val="22"/>
        </w:rPr>
        <w:t xml:space="preserve">15 September </w:t>
      </w:r>
      <w:r w:rsidR="006E31A0" w:rsidRPr="009A1915">
        <w:rPr>
          <w:sz w:val="22"/>
        </w:rPr>
        <w:t>2017</w:t>
      </w:r>
      <w:r w:rsidRPr="009A1915">
        <w:rPr>
          <w:sz w:val="22"/>
        </w:rPr>
        <w:t>.</w:t>
      </w:r>
    </w:p>
    <w:tbl>
      <w:tblPr>
        <w:tblStyle w:val="TableGrid"/>
        <w:tblW w:w="8928" w:type="dxa"/>
        <w:tblLook w:val="01E0" w:firstRow="1" w:lastRow="1" w:firstColumn="1" w:lastColumn="1" w:noHBand="0" w:noVBand="0"/>
      </w:tblPr>
      <w:tblGrid>
        <w:gridCol w:w="1728"/>
        <w:gridCol w:w="2916"/>
        <w:gridCol w:w="4284"/>
      </w:tblGrid>
      <w:tr w:rsidR="00971381" w14:paraId="1C8F3EC6" w14:textId="77777777" w:rsidTr="009A1915">
        <w:trPr>
          <w:cantSplit/>
          <w:tblHeader/>
        </w:trPr>
        <w:tc>
          <w:tcPr>
            <w:tcW w:w="1728" w:type="dxa"/>
            <w:tcBorders>
              <w:top w:val="single" w:sz="12" w:space="0" w:color="auto"/>
              <w:left w:val="single" w:sz="12" w:space="0" w:color="auto"/>
              <w:bottom w:val="single" w:sz="12" w:space="0" w:color="auto"/>
            </w:tcBorders>
            <w:vAlign w:val="center"/>
          </w:tcPr>
          <w:p w14:paraId="1C8F3EC3" w14:textId="77777777" w:rsidR="00971381" w:rsidRDefault="00971381" w:rsidP="004B2C78">
            <w:pPr>
              <w:spacing w:before="60" w:after="60"/>
              <w:jc w:val="center"/>
              <w:rPr>
                <w:b/>
                <w:bCs/>
                <w:sz w:val="24"/>
                <w:szCs w:val="24"/>
              </w:rPr>
            </w:pPr>
            <w:r>
              <w:rPr>
                <w:b/>
                <w:bCs/>
              </w:rPr>
              <w:t>Recommended code value</w:t>
            </w:r>
          </w:p>
        </w:tc>
        <w:tc>
          <w:tcPr>
            <w:tcW w:w="2916" w:type="dxa"/>
            <w:tcBorders>
              <w:top w:val="single" w:sz="12" w:space="0" w:color="auto"/>
              <w:bottom w:val="single" w:sz="12" w:space="0" w:color="auto"/>
            </w:tcBorders>
            <w:vAlign w:val="center"/>
          </w:tcPr>
          <w:p w14:paraId="1C8F3EC4" w14:textId="1FC14149" w:rsidR="00971381" w:rsidRDefault="00971381" w:rsidP="00D042DA">
            <w:pPr>
              <w:spacing w:before="60" w:after="60"/>
              <w:jc w:val="center"/>
              <w:rPr>
                <w:b/>
                <w:bCs/>
                <w:sz w:val="24"/>
                <w:szCs w:val="24"/>
              </w:rPr>
            </w:pPr>
            <w:r>
              <w:rPr>
                <w:b/>
                <w:bCs/>
              </w:rPr>
              <w:t>Recommended</w:t>
            </w:r>
            <w:r w:rsidR="004C273E">
              <w:rPr>
                <w:b/>
                <w:bCs/>
              </w:rPr>
              <w:br/>
            </w:r>
            <w:r>
              <w:rPr>
                <w:b/>
                <w:bCs/>
              </w:rPr>
              <w:t>code description</w:t>
            </w:r>
          </w:p>
        </w:tc>
        <w:tc>
          <w:tcPr>
            <w:tcW w:w="4284" w:type="dxa"/>
            <w:tcBorders>
              <w:top w:val="single" w:sz="12" w:space="0" w:color="auto"/>
              <w:bottom w:val="single" w:sz="12" w:space="0" w:color="auto"/>
              <w:right w:val="single" w:sz="12" w:space="0" w:color="auto"/>
            </w:tcBorders>
          </w:tcPr>
          <w:p w14:paraId="1C8F3EC5" w14:textId="77777777" w:rsidR="00971381" w:rsidRDefault="00971381" w:rsidP="004B2C78">
            <w:pPr>
              <w:spacing w:before="180" w:after="60"/>
              <w:jc w:val="center"/>
              <w:rPr>
                <w:b/>
                <w:bCs/>
              </w:rPr>
            </w:pPr>
            <w:r>
              <w:rPr>
                <w:b/>
                <w:bCs/>
              </w:rPr>
              <w:t>Annotation</w:t>
            </w:r>
          </w:p>
        </w:tc>
      </w:tr>
      <w:tr w:rsidR="00971381" w14:paraId="1C8F3ECA" w14:textId="77777777" w:rsidTr="009A1915">
        <w:trPr>
          <w:cantSplit/>
        </w:trPr>
        <w:tc>
          <w:tcPr>
            <w:tcW w:w="1728" w:type="dxa"/>
            <w:tcBorders>
              <w:top w:val="single" w:sz="12" w:space="0" w:color="auto"/>
            </w:tcBorders>
            <w:vAlign w:val="center"/>
          </w:tcPr>
          <w:p w14:paraId="1C8F3EC7" w14:textId="77777777" w:rsidR="00971381" w:rsidRDefault="00971381" w:rsidP="004B2C78">
            <w:pPr>
              <w:spacing w:before="60" w:after="60"/>
              <w:jc w:val="center"/>
              <w:rPr>
                <w:sz w:val="24"/>
                <w:szCs w:val="24"/>
              </w:rPr>
            </w:pPr>
            <w:r>
              <w:t>0</w:t>
            </w:r>
          </w:p>
        </w:tc>
        <w:tc>
          <w:tcPr>
            <w:tcW w:w="2916" w:type="dxa"/>
            <w:tcBorders>
              <w:top w:val="single" w:sz="12" w:space="0" w:color="auto"/>
            </w:tcBorders>
            <w:vAlign w:val="center"/>
          </w:tcPr>
          <w:p w14:paraId="1C8F3EC8" w14:textId="4E5F2C68" w:rsidR="00971381" w:rsidRDefault="00971381">
            <w:pPr>
              <w:spacing w:before="60" w:after="60"/>
              <w:rPr>
                <w:sz w:val="24"/>
                <w:szCs w:val="24"/>
              </w:rPr>
            </w:pPr>
            <w:r>
              <w:t>Units</w:t>
            </w:r>
          </w:p>
        </w:tc>
        <w:tc>
          <w:tcPr>
            <w:tcW w:w="4284" w:type="dxa"/>
            <w:tcBorders>
              <w:top w:val="single" w:sz="12" w:space="0" w:color="auto"/>
            </w:tcBorders>
          </w:tcPr>
          <w:p w14:paraId="1C8F3EC9" w14:textId="3996914E" w:rsidR="00971381" w:rsidRDefault="00834DDD" w:rsidP="00834DDD">
            <w:pPr>
              <w:spacing w:before="60" w:after="60"/>
            </w:pPr>
            <w:r>
              <w:t xml:space="preserve">In scientific notation, expressed as ten raised to the power of </w:t>
            </w:r>
            <w:r>
              <w:t>zero</w:t>
            </w:r>
            <w:r>
              <w:t xml:space="preserve"> (10</w:t>
            </w:r>
            <w:r>
              <w:rPr>
                <w:vertAlign w:val="superscript"/>
              </w:rPr>
              <w:t>0</w:t>
            </w:r>
            <w:r>
              <w:t>)</w:t>
            </w:r>
          </w:p>
        </w:tc>
      </w:tr>
      <w:tr w:rsidR="00971381" w14:paraId="1C8F3ECE" w14:textId="77777777" w:rsidTr="009A1915">
        <w:trPr>
          <w:cantSplit/>
        </w:trPr>
        <w:tc>
          <w:tcPr>
            <w:tcW w:w="1728" w:type="dxa"/>
            <w:vAlign w:val="center"/>
          </w:tcPr>
          <w:p w14:paraId="1C8F3ECB" w14:textId="77777777" w:rsidR="00971381" w:rsidRDefault="00971381" w:rsidP="004B2C78">
            <w:pPr>
              <w:spacing w:before="60" w:after="60"/>
              <w:jc w:val="center"/>
              <w:rPr>
                <w:sz w:val="24"/>
                <w:szCs w:val="24"/>
              </w:rPr>
            </w:pPr>
            <w:r>
              <w:t>1</w:t>
            </w:r>
          </w:p>
        </w:tc>
        <w:tc>
          <w:tcPr>
            <w:tcW w:w="2916" w:type="dxa"/>
            <w:vAlign w:val="center"/>
          </w:tcPr>
          <w:p w14:paraId="1C8F3ECC" w14:textId="4BC9D436" w:rsidR="00971381" w:rsidRDefault="00971381">
            <w:pPr>
              <w:spacing w:before="60" w:after="60"/>
              <w:rPr>
                <w:sz w:val="24"/>
                <w:szCs w:val="24"/>
              </w:rPr>
            </w:pPr>
            <w:r>
              <w:t>Tens</w:t>
            </w:r>
          </w:p>
        </w:tc>
        <w:tc>
          <w:tcPr>
            <w:tcW w:w="4284" w:type="dxa"/>
          </w:tcPr>
          <w:p w14:paraId="1C8F3ECD" w14:textId="6E6E50B3" w:rsidR="00971381" w:rsidRDefault="00834DDD" w:rsidP="00834DDD">
            <w:pPr>
              <w:spacing w:before="60" w:after="60"/>
            </w:pPr>
            <w:r>
              <w:t xml:space="preserve">In scientific notation, expressed as ten raised to the power of </w:t>
            </w:r>
            <w:r>
              <w:t>one</w:t>
            </w:r>
            <w:r>
              <w:t xml:space="preserve"> (10</w:t>
            </w:r>
            <w:r>
              <w:rPr>
                <w:vertAlign w:val="superscript"/>
              </w:rPr>
              <w:t>1</w:t>
            </w:r>
            <w:r>
              <w:t>)</w:t>
            </w:r>
          </w:p>
        </w:tc>
      </w:tr>
      <w:tr w:rsidR="00971381" w14:paraId="1C8F3ED2" w14:textId="77777777" w:rsidTr="009A1915">
        <w:trPr>
          <w:cantSplit/>
        </w:trPr>
        <w:tc>
          <w:tcPr>
            <w:tcW w:w="1728" w:type="dxa"/>
            <w:vAlign w:val="center"/>
          </w:tcPr>
          <w:p w14:paraId="1C8F3ECF" w14:textId="77777777" w:rsidR="00971381" w:rsidRDefault="00971381" w:rsidP="004B2C78">
            <w:pPr>
              <w:spacing w:before="60" w:after="60"/>
              <w:jc w:val="center"/>
              <w:rPr>
                <w:sz w:val="24"/>
                <w:szCs w:val="24"/>
              </w:rPr>
            </w:pPr>
            <w:r>
              <w:t>2</w:t>
            </w:r>
          </w:p>
        </w:tc>
        <w:tc>
          <w:tcPr>
            <w:tcW w:w="2916" w:type="dxa"/>
            <w:vAlign w:val="center"/>
          </w:tcPr>
          <w:p w14:paraId="1C8F3ED0" w14:textId="3D0554F8" w:rsidR="00971381" w:rsidRDefault="00971381">
            <w:pPr>
              <w:spacing w:before="60" w:after="60"/>
              <w:rPr>
                <w:sz w:val="24"/>
                <w:szCs w:val="24"/>
              </w:rPr>
            </w:pPr>
            <w:r>
              <w:t>Hundreds</w:t>
            </w:r>
          </w:p>
        </w:tc>
        <w:tc>
          <w:tcPr>
            <w:tcW w:w="4284" w:type="dxa"/>
          </w:tcPr>
          <w:p w14:paraId="1C8F3ED1" w14:textId="2C6FCD0D" w:rsidR="00971381" w:rsidRDefault="004C273E">
            <w:pPr>
              <w:spacing w:before="60" w:after="60"/>
            </w:pPr>
            <w:r>
              <w:t>In scientific notation, expressed as t</w:t>
            </w:r>
            <w:r w:rsidR="00EF100F">
              <w:t>en raised to the power of two (10²)</w:t>
            </w:r>
          </w:p>
        </w:tc>
      </w:tr>
      <w:tr w:rsidR="00EF100F" w14:paraId="1C8F3ED6" w14:textId="77777777" w:rsidTr="009A1915">
        <w:trPr>
          <w:cantSplit/>
        </w:trPr>
        <w:tc>
          <w:tcPr>
            <w:tcW w:w="1728" w:type="dxa"/>
            <w:vAlign w:val="center"/>
          </w:tcPr>
          <w:p w14:paraId="1C8F3ED3" w14:textId="77777777" w:rsidR="00EF100F" w:rsidRDefault="00EF100F" w:rsidP="004B2C78">
            <w:pPr>
              <w:spacing w:before="60" w:after="60"/>
              <w:jc w:val="center"/>
              <w:rPr>
                <w:sz w:val="24"/>
                <w:szCs w:val="24"/>
              </w:rPr>
            </w:pPr>
            <w:r>
              <w:t>3</w:t>
            </w:r>
          </w:p>
        </w:tc>
        <w:tc>
          <w:tcPr>
            <w:tcW w:w="2916" w:type="dxa"/>
            <w:vAlign w:val="center"/>
          </w:tcPr>
          <w:p w14:paraId="1C8F3ED4" w14:textId="6C09789E" w:rsidR="00EF100F" w:rsidRDefault="00EF100F">
            <w:pPr>
              <w:spacing w:before="60" w:after="60"/>
              <w:rPr>
                <w:sz w:val="24"/>
                <w:szCs w:val="24"/>
              </w:rPr>
            </w:pPr>
            <w:r>
              <w:t>Thousands</w:t>
            </w:r>
          </w:p>
        </w:tc>
        <w:tc>
          <w:tcPr>
            <w:tcW w:w="4284" w:type="dxa"/>
          </w:tcPr>
          <w:p w14:paraId="1C8F3ED5" w14:textId="230B3FEF" w:rsidR="00EF100F" w:rsidRDefault="004C273E">
            <w:pPr>
              <w:spacing w:before="60" w:after="60"/>
            </w:pPr>
            <w:r>
              <w:t>In scientific notation, expressed as t</w:t>
            </w:r>
            <w:r w:rsidR="00EF100F">
              <w:t>en raised to the power of three (10³)</w:t>
            </w:r>
          </w:p>
        </w:tc>
      </w:tr>
      <w:tr w:rsidR="00EF100F" w14:paraId="1C8F3EDA" w14:textId="77777777" w:rsidTr="009A1915">
        <w:trPr>
          <w:cantSplit/>
        </w:trPr>
        <w:tc>
          <w:tcPr>
            <w:tcW w:w="1728" w:type="dxa"/>
            <w:vAlign w:val="center"/>
          </w:tcPr>
          <w:p w14:paraId="1C8F3ED7" w14:textId="77777777" w:rsidR="00EF100F" w:rsidRDefault="00EF100F" w:rsidP="004B2C78">
            <w:pPr>
              <w:spacing w:before="60" w:after="60"/>
              <w:jc w:val="center"/>
              <w:rPr>
                <w:sz w:val="24"/>
                <w:szCs w:val="24"/>
              </w:rPr>
            </w:pPr>
            <w:r>
              <w:t>4</w:t>
            </w:r>
          </w:p>
        </w:tc>
        <w:tc>
          <w:tcPr>
            <w:tcW w:w="2916" w:type="dxa"/>
            <w:vAlign w:val="center"/>
          </w:tcPr>
          <w:p w14:paraId="1C8F3ED8" w14:textId="2957C312" w:rsidR="00EF100F" w:rsidRDefault="00EF100F">
            <w:pPr>
              <w:spacing w:before="60" w:after="60"/>
              <w:rPr>
                <w:sz w:val="24"/>
                <w:szCs w:val="24"/>
              </w:rPr>
            </w:pPr>
            <w:r>
              <w:t>Ten</w:t>
            </w:r>
            <w:r w:rsidR="00641472">
              <w:t>s of</w:t>
            </w:r>
            <w:r w:rsidR="00EB42FB">
              <w:t xml:space="preserve"> t</w:t>
            </w:r>
            <w:r>
              <w:t>housands</w:t>
            </w:r>
          </w:p>
        </w:tc>
        <w:tc>
          <w:tcPr>
            <w:tcW w:w="4284" w:type="dxa"/>
          </w:tcPr>
          <w:p w14:paraId="1C8F3ED9" w14:textId="0176E8D9" w:rsidR="00EF100F" w:rsidRDefault="004C273E">
            <w:pPr>
              <w:spacing w:before="60" w:after="60"/>
            </w:pPr>
            <w:r>
              <w:t>In scientific notation, expressed as t</w:t>
            </w:r>
            <w:r w:rsidR="00EF100F">
              <w:t>en raised to the power of four (10</w:t>
            </w:r>
            <w:r w:rsidR="00EF100F" w:rsidRPr="00D042DA">
              <w:rPr>
                <w:vertAlign w:val="superscript"/>
              </w:rPr>
              <w:t>4</w:t>
            </w:r>
            <w:r w:rsidR="00EF100F">
              <w:t>)</w:t>
            </w:r>
          </w:p>
        </w:tc>
      </w:tr>
      <w:tr w:rsidR="00EF100F" w14:paraId="0A8CDF21" w14:textId="77777777" w:rsidTr="009A1915">
        <w:trPr>
          <w:cantSplit/>
        </w:trPr>
        <w:tc>
          <w:tcPr>
            <w:tcW w:w="1728" w:type="dxa"/>
            <w:vAlign w:val="center"/>
          </w:tcPr>
          <w:p w14:paraId="295F05DE" w14:textId="6F16BC30" w:rsidR="00EF100F" w:rsidRDefault="00EF100F" w:rsidP="004B2C78">
            <w:pPr>
              <w:spacing w:before="60" w:after="60"/>
              <w:jc w:val="center"/>
            </w:pPr>
            <w:r>
              <w:t>5</w:t>
            </w:r>
          </w:p>
        </w:tc>
        <w:tc>
          <w:tcPr>
            <w:tcW w:w="2916" w:type="dxa"/>
            <w:vAlign w:val="center"/>
          </w:tcPr>
          <w:p w14:paraId="3D70CE85" w14:textId="7A600951" w:rsidR="00EF100F" w:rsidRDefault="00EF100F">
            <w:pPr>
              <w:spacing w:before="60" w:after="60"/>
            </w:pPr>
            <w:r>
              <w:t>Hundred</w:t>
            </w:r>
            <w:r w:rsidR="00641472">
              <w:t>s of</w:t>
            </w:r>
            <w:r w:rsidR="00EB42FB">
              <w:t xml:space="preserve"> t</w:t>
            </w:r>
            <w:r>
              <w:t>housands</w:t>
            </w:r>
          </w:p>
        </w:tc>
        <w:tc>
          <w:tcPr>
            <w:tcW w:w="4284" w:type="dxa"/>
          </w:tcPr>
          <w:p w14:paraId="2BAF98FD" w14:textId="37692028" w:rsidR="00EF100F" w:rsidRDefault="004C273E">
            <w:pPr>
              <w:spacing w:before="60" w:after="60"/>
            </w:pPr>
            <w:r>
              <w:t>In scientific notation, expressed as t</w:t>
            </w:r>
            <w:r w:rsidR="00EF100F">
              <w:t>en raised to the power of five(10</w:t>
            </w:r>
            <w:r w:rsidR="00EF100F">
              <w:rPr>
                <w:vertAlign w:val="superscript"/>
              </w:rPr>
              <w:t>5</w:t>
            </w:r>
            <w:r w:rsidR="00EF100F">
              <w:t>)</w:t>
            </w:r>
          </w:p>
        </w:tc>
      </w:tr>
      <w:tr w:rsidR="00EF100F" w14:paraId="1C8F3EDE" w14:textId="77777777" w:rsidTr="009A1915">
        <w:trPr>
          <w:cantSplit/>
        </w:trPr>
        <w:tc>
          <w:tcPr>
            <w:tcW w:w="1728" w:type="dxa"/>
            <w:vAlign w:val="center"/>
          </w:tcPr>
          <w:p w14:paraId="1C8F3EDB" w14:textId="77777777" w:rsidR="00EF100F" w:rsidRDefault="00EF100F" w:rsidP="004B2C78">
            <w:pPr>
              <w:spacing w:before="60" w:after="60"/>
              <w:jc w:val="center"/>
              <w:rPr>
                <w:sz w:val="24"/>
                <w:szCs w:val="24"/>
              </w:rPr>
            </w:pPr>
            <w:r>
              <w:t>6</w:t>
            </w:r>
          </w:p>
        </w:tc>
        <w:tc>
          <w:tcPr>
            <w:tcW w:w="2916" w:type="dxa"/>
            <w:vAlign w:val="center"/>
          </w:tcPr>
          <w:p w14:paraId="1C8F3EDC" w14:textId="515252D3" w:rsidR="00EF100F" w:rsidRDefault="00EF100F">
            <w:pPr>
              <w:spacing w:before="60" w:after="60"/>
              <w:rPr>
                <w:sz w:val="24"/>
                <w:szCs w:val="24"/>
              </w:rPr>
            </w:pPr>
            <w:r>
              <w:t>Million</w:t>
            </w:r>
            <w:r w:rsidR="00C1553B">
              <w:t>s</w:t>
            </w:r>
          </w:p>
        </w:tc>
        <w:tc>
          <w:tcPr>
            <w:tcW w:w="4284" w:type="dxa"/>
          </w:tcPr>
          <w:p w14:paraId="1C8F3EDD" w14:textId="3B0B27BC" w:rsidR="00EF100F" w:rsidRDefault="004C273E">
            <w:pPr>
              <w:spacing w:before="60" w:after="60"/>
            </w:pPr>
            <w:r>
              <w:t>In scientific notation, expressed as t</w:t>
            </w:r>
            <w:r w:rsidR="00EF100F">
              <w:t>en raised to the power of six (10</w:t>
            </w:r>
            <w:r w:rsidR="00EF100F">
              <w:rPr>
                <w:vertAlign w:val="superscript"/>
              </w:rPr>
              <w:t>6</w:t>
            </w:r>
            <w:r w:rsidR="00EF100F">
              <w:t>)</w:t>
            </w:r>
          </w:p>
        </w:tc>
      </w:tr>
      <w:tr w:rsidR="00EF100F" w14:paraId="57FA8DB5" w14:textId="77777777" w:rsidTr="009A1915">
        <w:trPr>
          <w:cantSplit/>
        </w:trPr>
        <w:tc>
          <w:tcPr>
            <w:tcW w:w="1728" w:type="dxa"/>
            <w:vAlign w:val="center"/>
          </w:tcPr>
          <w:p w14:paraId="61ECE2FE" w14:textId="563E795E" w:rsidR="00EF100F" w:rsidRDefault="00EF100F" w:rsidP="004B2C78">
            <w:pPr>
              <w:spacing w:before="60" w:after="60"/>
              <w:jc w:val="center"/>
            </w:pPr>
            <w:r>
              <w:t>7</w:t>
            </w:r>
          </w:p>
        </w:tc>
        <w:tc>
          <w:tcPr>
            <w:tcW w:w="2916" w:type="dxa"/>
            <w:vAlign w:val="center"/>
          </w:tcPr>
          <w:p w14:paraId="57CD0B9B" w14:textId="5E403FCB" w:rsidR="00EF100F" w:rsidRDefault="00EF100F">
            <w:pPr>
              <w:spacing w:before="60" w:after="60"/>
            </w:pPr>
            <w:r>
              <w:t>Ten</w:t>
            </w:r>
            <w:r w:rsidR="00641472">
              <w:t>s of</w:t>
            </w:r>
            <w:r>
              <w:t xml:space="preserve"> </w:t>
            </w:r>
            <w:r w:rsidR="00EB42FB">
              <w:t>m</w:t>
            </w:r>
            <w:r>
              <w:t>illions</w:t>
            </w:r>
          </w:p>
        </w:tc>
        <w:tc>
          <w:tcPr>
            <w:tcW w:w="4284" w:type="dxa"/>
          </w:tcPr>
          <w:p w14:paraId="70431146" w14:textId="42020B06" w:rsidR="00EF100F" w:rsidRDefault="004C273E">
            <w:pPr>
              <w:spacing w:before="60" w:after="60"/>
            </w:pPr>
            <w:r>
              <w:t>In scientific notation, expressed as t</w:t>
            </w:r>
            <w:r w:rsidR="00EF100F">
              <w:t>en raised to the power of seven (10</w:t>
            </w:r>
            <w:r w:rsidR="00EF100F">
              <w:rPr>
                <w:vertAlign w:val="superscript"/>
              </w:rPr>
              <w:t>7</w:t>
            </w:r>
            <w:r w:rsidR="00EF100F">
              <w:t>)</w:t>
            </w:r>
          </w:p>
        </w:tc>
      </w:tr>
      <w:tr w:rsidR="00EF100F" w14:paraId="28A85EBA" w14:textId="77777777" w:rsidTr="009A1915">
        <w:trPr>
          <w:cantSplit/>
        </w:trPr>
        <w:tc>
          <w:tcPr>
            <w:tcW w:w="1728" w:type="dxa"/>
            <w:vAlign w:val="center"/>
          </w:tcPr>
          <w:p w14:paraId="421B4C85" w14:textId="35C2F59F" w:rsidR="00EF100F" w:rsidRDefault="00EF100F" w:rsidP="004B2C78">
            <w:pPr>
              <w:spacing w:before="60" w:after="60"/>
              <w:jc w:val="center"/>
            </w:pPr>
            <w:r>
              <w:t>8</w:t>
            </w:r>
          </w:p>
        </w:tc>
        <w:tc>
          <w:tcPr>
            <w:tcW w:w="2916" w:type="dxa"/>
            <w:vAlign w:val="center"/>
          </w:tcPr>
          <w:p w14:paraId="2C535625" w14:textId="61DC3219" w:rsidR="00EF100F" w:rsidRDefault="00EF100F">
            <w:pPr>
              <w:spacing w:before="60" w:after="60"/>
            </w:pPr>
            <w:r>
              <w:t>Hundred</w:t>
            </w:r>
            <w:r w:rsidR="00641472">
              <w:t>s of</w:t>
            </w:r>
            <w:r>
              <w:t xml:space="preserve"> </w:t>
            </w:r>
            <w:r w:rsidR="00641472">
              <w:t>m</w:t>
            </w:r>
            <w:r>
              <w:t>illions</w:t>
            </w:r>
          </w:p>
        </w:tc>
        <w:tc>
          <w:tcPr>
            <w:tcW w:w="4284" w:type="dxa"/>
          </w:tcPr>
          <w:p w14:paraId="141C9C64" w14:textId="02BF0615" w:rsidR="00EF100F" w:rsidRDefault="004C273E">
            <w:pPr>
              <w:spacing w:before="60" w:after="60"/>
            </w:pPr>
            <w:r>
              <w:t>In scientific notation, expressed as t</w:t>
            </w:r>
            <w:r w:rsidR="00EF100F">
              <w:t xml:space="preserve">en raised to the power of </w:t>
            </w:r>
            <w:r>
              <w:t>eight</w:t>
            </w:r>
            <w:r w:rsidR="00EF100F">
              <w:t xml:space="preserve"> (10</w:t>
            </w:r>
            <w:r>
              <w:rPr>
                <w:vertAlign w:val="superscript"/>
              </w:rPr>
              <w:t>8</w:t>
            </w:r>
            <w:r w:rsidR="00EF100F">
              <w:t>)</w:t>
            </w:r>
          </w:p>
        </w:tc>
      </w:tr>
      <w:tr w:rsidR="00EF100F" w14:paraId="1C8F3EE2" w14:textId="77777777" w:rsidTr="009A1915">
        <w:trPr>
          <w:cantSplit/>
        </w:trPr>
        <w:tc>
          <w:tcPr>
            <w:tcW w:w="1728" w:type="dxa"/>
            <w:vAlign w:val="center"/>
          </w:tcPr>
          <w:p w14:paraId="1C8F3EDF" w14:textId="77777777" w:rsidR="00EF100F" w:rsidRDefault="00EF100F" w:rsidP="004B2C78">
            <w:pPr>
              <w:spacing w:before="60" w:after="60"/>
              <w:jc w:val="center"/>
              <w:rPr>
                <w:sz w:val="24"/>
                <w:szCs w:val="24"/>
              </w:rPr>
            </w:pPr>
            <w:r>
              <w:t>9</w:t>
            </w:r>
          </w:p>
        </w:tc>
        <w:tc>
          <w:tcPr>
            <w:tcW w:w="2916" w:type="dxa"/>
            <w:vAlign w:val="center"/>
          </w:tcPr>
          <w:p w14:paraId="1C8F3EE0" w14:textId="77777777" w:rsidR="00EF100F" w:rsidRDefault="00EF100F" w:rsidP="004B2C78">
            <w:pPr>
              <w:spacing w:before="60" w:after="60"/>
              <w:rPr>
                <w:sz w:val="24"/>
                <w:szCs w:val="24"/>
              </w:rPr>
            </w:pPr>
            <w:r>
              <w:t>Billions</w:t>
            </w:r>
          </w:p>
        </w:tc>
        <w:tc>
          <w:tcPr>
            <w:tcW w:w="4284" w:type="dxa"/>
          </w:tcPr>
          <w:p w14:paraId="1C8F3EE1" w14:textId="7122431F" w:rsidR="00EF100F" w:rsidRDefault="004C273E">
            <w:pPr>
              <w:spacing w:before="60" w:after="60"/>
            </w:pPr>
            <w:r>
              <w:t>In scientific notation, expressed as ten raised to the power of nine (10</w:t>
            </w:r>
            <w:r>
              <w:rPr>
                <w:vertAlign w:val="superscript"/>
              </w:rPr>
              <w:t>9</w:t>
            </w:r>
            <w:r>
              <w:t>)</w:t>
            </w:r>
          </w:p>
        </w:tc>
      </w:tr>
      <w:tr w:rsidR="00EF100F" w14:paraId="67E0A57F" w14:textId="77777777" w:rsidTr="009A1915">
        <w:trPr>
          <w:cantSplit/>
        </w:trPr>
        <w:tc>
          <w:tcPr>
            <w:tcW w:w="1728" w:type="dxa"/>
            <w:vAlign w:val="center"/>
          </w:tcPr>
          <w:p w14:paraId="20275319" w14:textId="1355B2E0" w:rsidR="00EF100F" w:rsidRDefault="00EF100F" w:rsidP="004B2C78">
            <w:pPr>
              <w:spacing w:before="60" w:after="60"/>
              <w:jc w:val="center"/>
            </w:pPr>
            <w:r>
              <w:t>10</w:t>
            </w:r>
          </w:p>
        </w:tc>
        <w:tc>
          <w:tcPr>
            <w:tcW w:w="2916" w:type="dxa"/>
            <w:vAlign w:val="center"/>
          </w:tcPr>
          <w:p w14:paraId="1FAB9ECE" w14:textId="577AE3BD" w:rsidR="00EF100F" w:rsidRDefault="00EF100F">
            <w:pPr>
              <w:spacing w:before="60" w:after="60"/>
            </w:pPr>
            <w:r w:rsidRPr="006E31A0">
              <w:t>Ten</w:t>
            </w:r>
            <w:r w:rsidR="00641472">
              <w:t>s of</w:t>
            </w:r>
            <w:r w:rsidRPr="006E31A0">
              <w:t xml:space="preserve"> </w:t>
            </w:r>
            <w:r w:rsidR="00641472">
              <w:t>b</w:t>
            </w:r>
            <w:r w:rsidRPr="006E31A0">
              <w:t>illions</w:t>
            </w:r>
          </w:p>
        </w:tc>
        <w:tc>
          <w:tcPr>
            <w:tcW w:w="4284" w:type="dxa"/>
          </w:tcPr>
          <w:p w14:paraId="15F80B92" w14:textId="29BF85DC" w:rsidR="00EF100F" w:rsidRDefault="004C273E">
            <w:pPr>
              <w:spacing w:before="60" w:after="60"/>
            </w:pPr>
            <w:r>
              <w:t>In scientific notation, expressed as ten raised to the power of ten (10</w:t>
            </w:r>
            <w:r>
              <w:rPr>
                <w:vertAlign w:val="superscript"/>
              </w:rPr>
              <w:t>10</w:t>
            </w:r>
            <w:r>
              <w:t>)</w:t>
            </w:r>
          </w:p>
        </w:tc>
      </w:tr>
      <w:tr w:rsidR="00EF100F" w14:paraId="1350C207" w14:textId="77777777" w:rsidTr="009A1915">
        <w:trPr>
          <w:cantSplit/>
        </w:trPr>
        <w:tc>
          <w:tcPr>
            <w:tcW w:w="1728" w:type="dxa"/>
            <w:vAlign w:val="center"/>
          </w:tcPr>
          <w:p w14:paraId="3039E197" w14:textId="59BBF43F" w:rsidR="00EF100F" w:rsidRDefault="00EF100F" w:rsidP="004B2C78">
            <w:pPr>
              <w:spacing w:before="60" w:after="60"/>
              <w:jc w:val="center"/>
            </w:pPr>
            <w:r>
              <w:t>11</w:t>
            </w:r>
          </w:p>
        </w:tc>
        <w:tc>
          <w:tcPr>
            <w:tcW w:w="2916" w:type="dxa"/>
            <w:vAlign w:val="center"/>
          </w:tcPr>
          <w:p w14:paraId="37901946" w14:textId="207FB0C4" w:rsidR="00EF100F" w:rsidRDefault="00EF100F">
            <w:pPr>
              <w:spacing w:before="60" w:after="60"/>
            </w:pPr>
            <w:r>
              <w:t>Hundred</w:t>
            </w:r>
            <w:r w:rsidR="00641472">
              <w:t>s of</w:t>
            </w:r>
            <w:r>
              <w:t xml:space="preserve"> </w:t>
            </w:r>
            <w:r w:rsidR="00641472">
              <w:t>b</w:t>
            </w:r>
            <w:r>
              <w:t>illions</w:t>
            </w:r>
          </w:p>
        </w:tc>
        <w:tc>
          <w:tcPr>
            <w:tcW w:w="4284" w:type="dxa"/>
          </w:tcPr>
          <w:p w14:paraId="2E266DD8" w14:textId="2E8DCE36" w:rsidR="00EF100F" w:rsidRDefault="004C273E">
            <w:pPr>
              <w:spacing w:before="60" w:after="60"/>
            </w:pPr>
            <w:r>
              <w:t>In scientific notation, expressed as ten raised to the power of eleven (10</w:t>
            </w:r>
            <w:r>
              <w:rPr>
                <w:vertAlign w:val="superscript"/>
              </w:rPr>
              <w:t>11</w:t>
            </w:r>
            <w:r>
              <w:t>)</w:t>
            </w:r>
          </w:p>
        </w:tc>
      </w:tr>
      <w:tr w:rsidR="00EF100F" w14:paraId="1C8F3EE6" w14:textId="77777777" w:rsidTr="009A1915">
        <w:trPr>
          <w:cantSplit/>
        </w:trPr>
        <w:tc>
          <w:tcPr>
            <w:tcW w:w="1728" w:type="dxa"/>
            <w:vAlign w:val="center"/>
          </w:tcPr>
          <w:p w14:paraId="1C8F3EE3" w14:textId="77777777" w:rsidR="00EF100F" w:rsidRDefault="00EF100F" w:rsidP="004B2C78">
            <w:pPr>
              <w:spacing w:before="60" w:after="60"/>
              <w:jc w:val="center"/>
            </w:pPr>
            <w:r>
              <w:t>12</w:t>
            </w:r>
          </w:p>
        </w:tc>
        <w:tc>
          <w:tcPr>
            <w:tcW w:w="2916" w:type="dxa"/>
            <w:vAlign w:val="center"/>
          </w:tcPr>
          <w:p w14:paraId="1C8F3EE4" w14:textId="77777777" w:rsidR="00EF100F" w:rsidRDefault="00EF100F" w:rsidP="004B2C78">
            <w:pPr>
              <w:spacing w:before="60" w:after="60"/>
            </w:pPr>
            <w:r>
              <w:t>Trillions</w:t>
            </w:r>
          </w:p>
        </w:tc>
        <w:tc>
          <w:tcPr>
            <w:tcW w:w="4284" w:type="dxa"/>
          </w:tcPr>
          <w:p w14:paraId="1C8F3EE5" w14:textId="7E2EC233" w:rsidR="00EF100F" w:rsidRDefault="004C273E">
            <w:pPr>
              <w:spacing w:before="60" w:after="60"/>
            </w:pPr>
            <w:r>
              <w:t>In scientific notation, expressed as ten raised to the power of twelve (10</w:t>
            </w:r>
            <w:r>
              <w:rPr>
                <w:vertAlign w:val="superscript"/>
              </w:rPr>
              <w:t>12</w:t>
            </w:r>
            <w:r>
              <w:t>)</w:t>
            </w:r>
          </w:p>
        </w:tc>
      </w:tr>
      <w:tr w:rsidR="00EF100F" w14:paraId="3A0FF433" w14:textId="77777777" w:rsidTr="009A1915">
        <w:trPr>
          <w:cantSplit/>
        </w:trPr>
        <w:tc>
          <w:tcPr>
            <w:tcW w:w="1728" w:type="dxa"/>
            <w:vAlign w:val="center"/>
          </w:tcPr>
          <w:p w14:paraId="3335408E" w14:textId="1A95E98F" w:rsidR="00EF100F" w:rsidRDefault="00EF100F" w:rsidP="004B2C78">
            <w:pPr>
              <w:spacing w:before="60" w:after="60"/>
              <w:jc w:val="center"/>
            </w:pPr>
            <w:r>
              <w:t>13</w:t>
            </w:r>
          </w:p>
        </w:tc>
        <w:tc>
          <w:tcPr>
            <w:tcW w:w="2916" w:type="dxa"/>
            <w:vAlign w:val="center"/>
          </w:tcPr>
          <w:p w14:paraId="1CFA56A3" w14:textId="5DAD0048" w:rsidR="00EF100F" w:rsidRDefault="00EF100F">
            <w:pPr>
              <w:spacing w:before="60" w:after="60"/>
            </w:pPr>
            <w:r>
              <w:t>Ten</w:t>
            </w:r>
            <w:r w:rsidR="00641472">
              <w:t>s of</w:t>
            </w:r>
            <w:r>
              <w:t xml:space="preserve"> </w:t>
            </w:r>
            <w:r w:rsidR="00C1553B">
              <w:t>t</w:t>
            </w:r>
            <w:r>
              <w:t>rillions</w:t>
            </w:r>
          </w:p>
        </w:tc>
        <w:tc>
          <w:tcPr>
            <w:tcW w:w="4284" w:type="dxa"/>
          </w:tcPr>
          <w:p w14:paraId="4ADA76E4" w14:textId="552ABD8C" w:rsidR="00EF100F" w:rsidRDefault="004C273E">
            <w:pPr>
              <w:spacing w:before="60" w:after="60"/>
            </w:pPr>
            <w:r>
              <w:t>In scientific notation, expressed as ten raised to the power of thirteen (10</w:t>
            </w:r>
            <w:r>
              <w:rPr>
                <w:vertAlign w:val="superscript"/>
              </w:rPr>
              <w:t>13</w:t>
            </w:r>
            <w:r>
              <w:t>)</w:t>
            </w:r>
          </w:p>
        </w:tc>
      </w:tr>
      <w:tr w:rsidR="00EF100F" w14:paraId="7C3DDB4E" w14:textId="77777777" w:rsidTr="009A1915">
        <w:trPr>
          <w:cantSplit/>
        </w:trPr>
        <w:tc>
          <w:tcPr>
            <w:tcW w:w="1728" w:type="dxa"/>
            <w:vAlign w:val="center"/>
          </w:tcPr>
          <w:p w14:paraId="4759BF16" w14:textId="042DD02B" w:rsidR="00EF100F" w:rsidRDefault="00EF100F" w:rsidP="004B2C78">
            <w:pPr>
              <w:spacing w:before="60" w:after="60"/>
              <w:jc w:val="center"/>
            </w:pPr>
            <w:r>
              <w:t>14</w:t>
            </w:r>
          </w:p>
        </w:tc>
        <w:tc>
          <w:tcPr>
            <w:tcW w:w="2916" w:type="dxa"/>
            <w:vAlign w:val="center"/>
          </w:tcPr>
          <w:p w14:paraId="59049A83" w14:textId="50F0A305" w:rsidR="00EF100F" w:rsidRDefault="00EF100F">
            <w:pPr>
              <w:spacing w:before="60" w:after="60"/>
            </w:pPr>
            <w:r>
              <w:t>Hundred</w:t>
            </w:r>
            <w:r w:rsidR="00641472">
              <w:t>s of</w:t>
            </w:r>
            <w:r>
              <w:t xml:space="preserve"> </w:t>
            </w:r>
            <w:r w:rsidR="00C1553B">
              <w:t>t</w:t>
            </w:r>
            <w:r>
              <w:t>rillions</w:t>
            </w:r>
          </w:p>
        </w:tc>
        <w:tc>
          <w:tcPr>
            <w:tcW w:w="4284" w:type="dxa"/>
          </w:tcPr>
          <w:p w14:paraId="20A88688" w14:textId="6E008B2B" w:rsidR="00EF100F" w:rsidRDefault="004C273E">
            <w:pPr>
              <w:spacing w:before="60" w:after="60"/>
            </w:pPr>
            <w:r>
              <w:t>In scientific notation, expressed as ten raised to the power of fourteen (10</w:t>
            </w:r>
            <w:r>
              <w:rPr>
                <w:vertAlign w:val="superscript"/>
              </w:rPr>
              <w:t>14</w:t>
            </w:r>
            <w:r>
              <w:t>)</w:t>
            </w:r>
          </w:p>
        </w:tc>
      </w:tr>
      <w:tr w:rsidR="00EF100F" w14:paraId="1C8F3EEA" w14:textId="77777777" w:rsidTr="009A1915">
        <w:trPr>
          <w:cantSplit/>
        </w:trPr>
        <w:tc>
          <w:tcPr>
            <w:tcW w:w="1728" w:type="dxa"/>
            <w:vAlign w:val="center"/>
          </w:tcPr>
          <w:p w14:paraId="1C8F3EE7" w14:textId="77777777" w:rsidR="00EF100F" w:rsidRDefault="00EF100F" w:rsidP="004B2C78">
            <w:pPr>
              <w:spacing w:before="60" w:after="60"/>
              <w:jc w:val="center"/>
              <w:rPr>
                <w:sz w:val="24"/>
                <w:szCs w:val="24"/>
              </w:rPr>
            </w:pPr>
            <w:r>
              <w:t>15</w:t>
            </w:r>
          </w:p>
        </w:tc>
        <w:tc>
          <w:tcPr>
            <w:tcW w:w="2916" w:type="dxa"/>
            <w:vAlign w:val="center"/>
          </w:tcPr>
          <w:p w14:paraId="1C8F3EE8" w14:textId="77777777" w:rsidR="00EF100F" w:rsidRPr="006D0EE5" w:rsidRDefault="00EF100F" w:rsidP="004B2C78">
            <w:pPr>
              <w:spacing w:before="60" w:after="60"/>
              <w:rPr>
                <w:szCs w:val="24"/>
              </w:rPr>
            </w:pPr>
            <w:r>
              <w:t>Q</w:t>
            </w:r>
            <w:r w:rsidRPr="006D0EE5">
              <w:t>uadrillion</w:t>
            </w:r>
            <w:r>
              <w:t>s</w:t>
            </w:r>
          </w:p>
        </w:tc>
        <w:tc>
          <w:tcPr>
            <w:tcW w:w="4284" w:type="dxa"/>
          </w:tcPr>
          <w:p w14:paraId="1C8F3EE9" w14:textId="121617DF" w:rsidR="00EF100F" w:rsidRDefault="004C273E">
            <w:pPr>
              <w:spacing w:before="60" w:after="60"/>
            </w:pPr>
            <w:r>
              <w:t>In scientific notation, expressed as ten raised to the power of f</w:t>
            </w:r>
            <w:r w:rsidR="00CD2BD5">
              <w:t>if</w:t>
            </w:r>
            <w:r>
              <w:t>teen (10</w:t>
            </w:r>
            <w:r>
              <w:rPr>
                <w:vertAlign w:val="superscript"/>
              </w:rPr>
              <w:t>15</w:t>
            </w:r>
            <w:r>
              <w:t>)</w:t>
            </w:r>
          </w:p>
        </w:tc>
      </w:tr>
      <w:tr w:rsidR="00EF100F" w14:paraId="02CEB759" w14:textId="77777777" w:rsidTr="009A1915">
        <w:trPr>
          <w:cantSplit/>
        </w:trPr>
        <w:tc>
          <w:tcPr>
            <w:tcW w:w="1728" w:type="dxa"/>
            <w:vAlign w:val="center"/>
          </w:tcPr>
          <w:p w14:paraId="3EDC84AE" w14:textId="5695A774" w:rsidR="00EF100F" w:rsidRDefault="00EF100F" w:rsidP="00961558">
            <w:pPr>
              <w:spacing w:before="60" w:after="60"/>
              <w:jc w:val="center"/>
              <w:rPr>
                <w:sz w:val="24"/>
                <w:szCs w:val="24"/>
              </w:rPr>
            </w:pPr>
            <w:r>
              <w:t>-1</w:t>
            </w:r>
          </w:p>
        </w:tc>
        <w:tc>
          <w:tcPr>
            <w:tcW w:w="2916" w:type="dxa"/>
            <w:vAlign w:val="center"/>
          </w:tcPr>
          <w:p w14:paraId="2CDADE21" w14:textId="01D99516" w:rsidR="00EF100F" w:rsidRDefault="00EF100F" w:rsidP="00961558">
            <w:pPr>
              <w:spacing w:before="60" w:after="60"/>
              <w:rPr>
                <w:sz w:val="24"/>
                <w:szCs w:val="24"/>
              </w:rPr>
            </w:pPr>
            <w:r>
              <w:t>Tenths</w:t>
            </w:r>
          </w:p>
        </w:tc>
        <w:tc>
          <w:tcPr>
            <w:tcW w:w="4284" w:type="dxa"/>
          </w:tcPr>
          <w:p w14:paraId="63886670" w14:textId="5802CDA5" w:rsidR="00EF100F" w:rsidRDefault="00AE3414" w:rsidP="00AE3414">
            <w:pPr>
              <w:spacing w:before="60" w:after="60"/>
            </w:pPr>
            <w:r>
              <w:t xml:space="preserve">In scientific notation, expressed as ten raised to the power of minus </w:t>
            </w:r>
            <w:r>
              <w:t>one</w:t>
            </w:r>
            <w:r>
              <w:t xml:space="preserve"> (10</w:t>
            </w:r>
            <w:r>
              <w:rPr>
                <w:vertAlign w:val="superscript"/>
              </w:rPr>
              <w:t>-</w:t>
            </w:r>
            <w:r>
              <w:rPr>
                <w:vertAlign w:val="superscript"/>
              </w:rPr>
              <w:t>1</w:t>
            </w:r>
            <w:bookmarkStart w:id="5" w:name="_GoBack"/>
            <w:bookmarkEnd w:id="5"/>
            <w:r>
              <w:t>)</w:t>
            </w:r>
          </w:p>
        </w:tc>
      </w:tr>
      <w:tr w:rsidR="00EF100F" w14:paraId="6F17C4C9" w14:textId="77777777" w:rsidTr="009A1915">
        <w:trPr>
          <w:cantSplit/>
        </w:trPr>
        <w:tc>
          <w:tcPr>
            <w:tcW w:w="1728" w:type="dxa"/>
            <w:vAlign w:val="center"/>
          </w:tcPr>
          <w:p w14:paraId="4F5C90F2" w14:textId="4645EE66" w:rsidR="00EF100F" w:rsidRDefault="00EF100F" w:rsidP="00961558">
            <w:pPr>
              <w:spacing w:before="60" w:after="60"/>
              <w:jc w:val="center"/>
              <w:rPr>
                <w:sz w:val="24"/>
                <w:szCs w:val="24"/>
              </w:rPr>
            </w:pPr>
            <w:r>
              <w:t>-2</w:t>
            </w:r>
          </w:p>
        </w:tc>
        <w:tc>
          <w:tcPr>
            <w:tcW w:w="2916" w:type="dxa"/>
            <w:vAlign w:val="center"/>
          </w:tcPr>
          <w:p w14:paraId="2D3175ED" w14:textId="66B32A81" w:rsidR="00EF100F" w:rsidRDefault="00EF100F" w:rsidP="00961558">
            <w:pPr>
              <w:spacing w:before="60" w:after="60"/>
              <w:rPr>
                <w:sz w:val="24"/>
                <w:szCs w:val="24"/>
              </w:rPr>
            </w:pPr>
            <w:r>
              <w:t>Hundredths</w:t>
            </w:r>
          </w:p>
        </w:tc>
        <w:tc>
          <w:tcPr>
            <w:tcW w:w="4284" w:type="dxa"/>
          </w:tcPr>
          <w:p w14:paraId="5D85BFB1" w14:textId="7EE6CC52" w:rsidR="00EF100F" w:rsidRDefault="004C273E">
            <w:pPr>
              <w:spacing w:before="60" w:after="60"/>
            </w:pPr>
            <w:r>
              <w:t>In scientific notation, expressed as ten raised to the power of minus two (10</w:t>
            </w:r>
            <w:r>
              <w:rPr>
                <w:vertAlign w:val="superscript"/>
              </w:rPr>
              <w:t>-2</w:t>
            </w:r>
            <w:r>
              <w:t>)</w:t>
            </w:r>
          </w:p>
        </w:tc>
      </w:tr>
      <w:tr w:rsidR="00EF100F" w14:paraId="4A937D14" w14:textId="77777777" w:rsidTr="009A1915">
        <w:trPr>
          <w:cantSplit/>
        </w:trPr>
        <w:tc>
          <w:tcPr>
            <w:tcW w:w="1728" w:type="dxa"/>
            <w:vAlign w:val="center"/>
          </w:tcPr>
          <w:p w14:paraId="7DE54AE7" w14:textId="03D7900E" w:rsidR="00EF100F" w:rsidRDefault="00EF100F" w:rsidP="00961558">
            <w:pPr>
              <w:spacing w:before="60" w:after="60"/>
              <w:jc w:val="center"/>
              <w:rPr>
                <w:sz w:val="24"/>
                <w:szCs w:val="24"/>
              </w:rPr>
            </w:pPr>
            <w:r>
              <w:t>-3</w:t>
            </w:r>
          </w:p>
        </w:tc>
        <w:tc>
          <w:tcPr>
            <w:tcW w:w="2916" w:type="dxa"/>
            <w:vAlign w:val="center"/>
          </w:tcPr>
          <w:p w14:paraId="607771BB" w14:textId="1E94CE75" w:rsidR="00EF100F" w:rsidRDefault="00EF100F" w:rsidP="00961558">
            <w:pPr>
              <w:spacing w:before="60" w:after="60"/>
              <w:rPr>
                <w:sz w:val="24"/>
                <w:szCs w:val="24"/>
              </w:rPr>
            </w:pPr>
            <w:r>
              <w:t>Thousandths</w:t>
            </w:r>
          </w:p>
        </w:tc>
        <w:tc>
          <w:tcPr>
            <w:tcW w:w="4284" w:type="dxa"/>
          </w:tcPr>
          <w:p w14:paraId="61530FD6" w14:textId="4DB66A57" w:rsidR="00EF100F" w:rsidRDefault="004C273E">
            <w:pPr>
              <w:spacing w:before="60" w:after="60"/>
            </w:pPr>
            <w:r>
              <w:t>In scientific notation, expressed as ten raised to the power of minus three (10</w:t>
            </w:r>
            <w:r>
              <w:rPr>
                <w:vertAlign w:val="superscript"/>
              </w:rPr>
              <w:t>-3</w:t>
            </w:r>
            <w:r>
              <w:t>)</w:t>
            </w:r>
          </w:p>
        </w:tc>
      </w:tr>
      <w:tr w:rsidR="00EF100F" w14:paraId="6C88E099" w14:textId="77777777" w:rsidTr="009A1915">
        <w:trPr>
          <w:cantSplit/>
        </w:trPr>
        <w:tc>
          <w:tcPr>
            <w:tcW w:w="1728" w:type="dxa"/>
            <w:vAlign w:val="center"/>
          </w:tcPr>
          <w:p w14:paraId="1732372B" w14:textId="7FBE2A1F" w:rsidR="00EF100F" w:rsidRDefault="00EF100F" w:rsidP="00961558">
            <w:pPr>
              <w:spacing w:before="60" w:after="60"/>
              <w:jc w:val="center"/>
              <w:rPr>
                <w:sz w:val="24"/>
                <w:szCs w:val="24"/>
              </w:rPr>
            </w:pPr>
            <w:r>
              <w:t>-4</w:t>
            </w:r>
          </w:p>
        </w:tc>
        <w:tc>
          <w:tcPr>
            <w:tcW w:w="2916" w:type="dxa"/>
            <w:vAlign w:val="center"/>
          </w:tcPr>
          <w:p w14:paraId="7C7B2A5C" w14:textId="48863283" w:rsidR="00EF100F" w:rsidRDefault="00EF100F">
            <w:pPr>
              <w:spacing w:before="60" w:after="60"/>
              <w:rPr>
                <w:sz w:val="24"/>
                <w:szCs w:val="24"/>
              </w:rPr>
            </w:pPr>
            <w:r>
              <w:t>Ten</w:t>
            </w:r>
            <w:r w:rsidR="00641472">
              <w:t>-t</w:t>
            </w:r>
            <w:r>
              <w:t>housandths</w:t>
            </w:r>
          </w:p>
        </w:tc>
        <w:tc>
          <w:tcPr>
            <w:tcW w:w="4284" w:type="dxa"/>
          </w:tcPr>
          <w:p w14:paraId="1C14FF0A" w14:textId="33C6349C" w:rsidR="00EF100F" w:rsidRDefault="004C273E">
            <w:pPr>
              <w:spacing w:before="60" w:after="60"/>
            </w:pPr>
            <w:r>
              <w:t>In scientific notation, expressed as ten raised to the power of minus four (10</w:t>
            </w:r>
            <w:r>
              <w:rPr>
                <w:vertAlign w:val="superscript"/>
              </w:rPr>
              <w:t>-4</w:t>
            </w:r>
            <w:r>
              <w:t>)</w:t>
            </w:r>
          </w:p>
        </w:tc>
      </w:tr>
      <w:tr w:rsidR="00EF100F" w14:paraId="5BA62737" w14:textId="77777777" w:rsidTr="009A1915">
        <w:trPr>
          <w:cantSplit/>
        </w:trPr>
        <w:tc>
          <w:tcPr>
            <w:tcW w:w="1728" w:type="dxa"/>
            <w:vAlign w:val="center"/>
          </w:tcPr>
          <w:p w14:paraId="5A1D2FBD" w14:textId="3D62DA94" w:rsidR="00EF100F" w:rsidRDefault="00EF100F" w:rsidP="00961558">
            <w:pPr>
              <w:spacing w:before="60" w:after="60"/>
              <w:jc w:val="center"/>
            </w:pPr>
            <w:r>
              <w:t>-5</w:t>
            </w:r>
          </w:p>
        </w:tc>
        <w:tc>
          <w:tcPr>
            <w:tcW w:w="2916" w:type="dxa"/>
            <w:vAlign w:val="center"/>
          </w:tcPr>
          <w:p w14:paraId="2CBD3D8D" w14:textId="17FADB16" w:rsidR="00EF100F" w:rsidRDefault="00EF100F">
            <w:pPr>
              <w:spacing w:before="60" w:after="60"/>
            </w:pPr>
            <w:r>
              <w:t>Hundred</w:t>
            </w:r>
            <w:r w:rsidR="00641472">
              <w:t>-t</w:t>
            </w:r>
            <w:r>
              <w:t>housandths</w:t>
            </w:r>
          </w:p>
        </w:tc>
        <w:tc>
          <w:tcPr>
            <w:tcW w:w="4284" w:type="dxa"/>
          </w:tcPr>
          <w:p w14:paraId="72EF2688" w14:textId="3A678000" w:rsidR="00EF100F" w:rsidRDefault="004C273E">
            <w:pPr>
              <w:spacing w:before="60" w:after="60"/>
            </w:pPr>
            <w:r>
              <w:t>In scientific notation, expressed as ten raised to the power of minus five (10</w:t>
            </w:r>
            <w:r>
              <w:rPr>
                <w:vertAlign w:val="superscript"/>
              </w:rPr>
              <w:t>-5</w:t>
            </w:r>
            <w:r>
              <w:t>)</w:t>
            </w:r>
          </w:p>
        </w:tc>
      </w:tr>
      <w:tr w:rsidR="00EF100F" w14:paraId="4E9707EF" w14:textId="77777777" w:rsidTr="009A1915">
        <w:trPr>
          <w:cantSplit/>
        </w:trPr>
        <w:tc>
          <w:tcPr>
            <w:tcW w:w="1728" w:type="dxa"/>
            <w:vAlign w:val="center"/>
          </w:tcPr>
          <w:p w14:paraId="103B53E8" w14:textId="14682839" w:rsidR="00EF100F" w:rsidRDefault="00EF100F" w:rsidP="00961558">
            <w:pPr>
              <w:spacing w:before="60" w:after="60"/>
              <w:jc w:val="center"/>
              <w:rPr>
                <w:sz w:val="24"/>
                <w:szCs w:val="24"/>
              </w:rPr>
            </w:pPr>
            <w:r>
              <w:t>-6</w:t>
            </w:r>
          </w:p>
        </w:tc>
        <w:tc>
          <w:tcPr>
            <w:tcW w:w="2916" w:type="dxa"/>
            <w:vAlign w:val="center"/>
          </w:tcPr>
          <w:p w14:paraId="4F0EA679" w14:textId="62F1E86C" w:rsidR="00EF100F" w:rsidRDefault="00EF100F" w:rsidP="00961558">
            <w:pPr>
              <w:spacing w:before="60" w:after="60"/>
              <w:rPr>
                <w:sz w:val="24"/>
                <w:szCs w:val="24"/>
              </w:rPr>
            </w:pPr>
            <w:r>
              <w:t>Millionths</w:t>
            </w:r>
          </w:p>
        </w:tc>
        <w:tc>
          <w:tcPr>
            <w:tcW w:w="4284" w:type="dxa"/>
          </w:tcPr>
          <w:p w14:paraId="00155CD5" w14:textId="777A67FB" w:rsidR="00EF100F" w:rsidRDefault="004C273E">
            <w:pPr>
              <w:spacing w:before="60" w:after="60"/>
            </w:pPr>
            <w:r>
              <w:t>In scientific notation, expressed as ten raised to the power of minus six (10</w:t>
            </w:r>
            <w:r>
              <w:rPr>
                <w:vertAlign w:val="superscript"/>
              </w:rPr>
              <w:t>-6</w:t>
            </w:r>
            <w:r>
              <w:t>)</w:t>
            </w:r>
          </w:p>
        </w:tc>
      </w:tr>
      <w:tr w:rsidR="00EF100F" w14:paraId="4370C133" w14:textId="77777777" w:rsidTr="009A1915">
        <w:trPr>
          <w:cantSplit/>
        </w:trPr>
        <w:tc>
          <w:tcPr>
            <w:tcW w:w="1728" w:type="dxa"/>
            <w:vAlign w:val="center"/>
          </w:tcPr>
          <w:p w14:paraId="13182A47" w14:textId="7ADBDEFB" w:rsidR="00EF100F" w:rsidRDefault="00EF100F" w:rsidP="00961558">
            <w:pPr>
              <w:spacing w:before="60" w:after="60"/>
              <w:jc w:val="center"/>
            </w:pPr>
            <w:r>
              <w:t>-7</w:t>
            </w:r>
          </w:p>
        </w:tc>
        <w:tc>
          <w:tcPr>
            <w:tcW w:w="2916" w:type="dxa"/>
            <w:vAlign w:val="center"/>
          </w:tcPr>
          <w:p w14:paraId="211AADBA" w14:textId="0DB3A64C" w:rsidR="00EF100F" w:rsidRDefault="00EF100F">
            <w:pPr>
              <w:spacing w:before="60" w:after="60"/>
            </w:pPr>
            <w:r>
              <w:t>Ten</w:t>
            </w:r>
            <w:r w:rsidR="00641472">
              <w:t>-m</w:t>
            </w:r>
            <w:r>
              <w:t>illionths</w:t>
            </w:r>
          </w:p>
        </w:tc>
        <w:tc>
          <w:tcPr>
            <w:tcW w:w="4284" w:type="dxa"/>
          </w:tcPr>
          <w:p w14:paraId="17877A6F" w14:textId="4C8A5EB5" w:rsidR="00EF100F" w:rsidRDefault="004C273E">
            <w:pPr>
              <w:spacing w:before="60" w:after="60"/>
            </w:pPr>
            <w:r>
              <w:t>In scientific notation, expressed as ten raised to the power of minus seven (10</w:t>
            </w:r>
            <w:r>
              <w:rPr>
                <w:vertAlign w:val="superscript"/>
              </w:rPr>
              <w:t>-7</w:t>
            </w:r>
            <w:r>
              <w:t>)</w:t>
            </w:r>
          </w:p>
        </w:tc>
      </w:tr>
      <w:tr w:rsidR="00EF100F" w14:paraId="61EDFA26" w14:textId="77777777" w:rsidTr="009A1915">
        <w:trPr>
          <w:cantSplit/>
        </w:trPr>
        <w:tc>
          <w:tcPr>
            <w:tcW w:w="1728" w:type="dxa"/>
            <w:vAlign w:val="center"/>
          </w:tcPr>
          <w:p w14:paraId="57B0A94D" w14:textId="60063FF0" w:rsidR="00EF100F" w:rsidRDefault="00EF100F" w:rsidP="00961558">
            <w:pPr>
              <w:spacing w:before="60" w:after="60"/>
              <w:jc w:val="center"/>
            </w:pPr>
            <w:r>
              <w:t>-8</w:t>
            </w:r>
          </w:p>
        </w:tc>
        <w:tc>
          <w:tcPr>
            <w:tcW w:w="2916" w:type="dxa"/>
            <w:vAlign w:val="center"/>
          </w:tcPr>
          <w:p w14:paraId="2F5BDEC4" w14:textId="3FFF7A24" w:rsidR="00EF100F" w:rsidRDefault="00EF100F">
            <w:pPr>
              <w:spacing w:before="60" w:after="60"/>
            </w:pPr>
            <w:r>
              <w:t>Hundred</w:t>
            </w:r>
            <w:r w:rsidR="00641472">
              <w:t>-m</w:t>
            </w:r>
            <w:r>
              <w:t>illionths</w:t>
            </w:r>
          </w:p>
        </w:tc>
        <w:tc>
          <w:tcPr>
            <w:tcW w:w="4284" w:type="dxa"/>
          </w:tcPr>
          <w:p w14:paraId="727DDF57" w14:textId="20A7274F" w:rsidR="00EF100F" w:rsidRDefault="004C273E">
            <w:pPr>
              <w:spacing w:before="60" w:after="60"/>
            </w:pPr>
            <w:r>
              <w:t>In scientific notation, expressed as ten raised to the power of minus eight (10</w:t>
            </w:r>
            <w:r>
              <w:rPr>
                <w:vertAlign w:val="superscript"/>
              </w:rPr>
              <w:t>-8</w:t>
            </w:r>
            <w:r>
              <w:t>)</w:t>
            </w:r>
          </w:p>
        </w:tc>
      </w:tr>
      <w:tr w:rsidR="00EF100F" w14:paraId="51C29D47" w14:textId="77777777" w:rsidTr="009A1915">
        <w:trPr>
          <w:cantSplit/>
        </w:trPr>
        <w:tc>
          <w:tcPr>
            <w:tcW w:w="1728" w:type="dxa"/>
            <w:vAlign w:val="center"/>
          </w:tcPr>
          <w:p w14:paraId="01A27314" w14:textId="6ACFC4A9" w:rsidR="00EF100F" w:rsidRDefault="00EF100F" w:rsidP="00961558">
            <w:pPr>
              <w:spacing w:before="60" w:after="60"/>
              <w:jc w:val="center"/>
              <w:rPr>
                <w:sz w:val="24"/>
                <w:szCs w:val="24"/>
              </w:rPr>
            </w:pPr>
            <w:r>
              <w:t>-9</w:t>
            </w:r>
          </w:p>
        </w:tc>
        <w:tc>
          <w:tcPr>
            <w:tcW w:w="2916" w:type="dxa"/>
            <w:vAlign w:val="center"/>
          </w:tcPr>
          <w:p w14:paraId="50256FA0" w14:textId="6C41EAD4" w:rsidR="00EF100F" w:rsidRDefault="00EF100F" w:rsidP="00961558">
            <w:pPr>
              <w:spacing w:before="60" w:after="60"/>
              <w:rPr>
                <w:sz w:val="24"/>
                <w:szCs w:val="24"/>
              </w:rPr>
            </w:pPr>
            <w:r>
              <w:t>Billionths</w:t>
            </w:r>
          </w:p>
        </w:tc>
        <w:tc>
          <w:tcPr>
            <w:tcW w:w="4284" w:type="dxa"/>
          </w:tcPr>
          <w:p w14:paraId="47383128" w14:textId="2885EEEF" w:rsidR="00EF100F" w:rsidRDefault="004C273E">
            <w:pPr>
              <w:spacing w:before="60" w:after="60"/>
            </w:pPr>
            <w:r>
              <w:t>In scientific notation, expressed as ten raised to the power of minus nine (10</w:t>
            </w:r>
            <w:r>
              <w:rPr>
                <w:vertAlign w:val="superscript"/>
              </w:rPr>
              <w:t>-9</w:t>
            </w:r>
            <w:r>
              <w:t>)</w:t>
            </w:r>
          </w:p>
        </w:tc>
      </w:tr>
      <w:tr w:rsidR="00EF100F" w14:paraId="284BAE68" w14:textId="77777777" w:rsidTr="009A1915">
        <w:trPr>
          <w:cantSplit/>
        </w:trPr>
        <w:tc>
          <w:tcPr>
            <w:tcW w:w="1728" w:type="dxa"/>
            <w:vAlign w:val="center"/>
          </w:tcPr>
          <w:p w14:paraId="32188D27" w14:textId="3FB86581" w:rsidR="00EF100F" w:rsidRDefault="00EF100F" w:rsidP="00961558">
            <w:pPr>
              <w:spacing w:before="60" w:after="60"/>
              <w:jc w:val="center"/>
            </w:pPr>
            <w:r>
              <w:t>-10</w:t>
            </w:r>
          </w:p>
        </w:tc>
        <w:tc>
          <w:tcPr>
            <w:tcW w:w="2916" w:type="dxa"/>
            <w:vAlign w:val="center"/>
          </w:tcPr>
          <w:p w14:paraId="72EBDB45" w14:textId="46FD8A53" w:rsidR="00EF100F" w:rsidRDefault="00EF100F">
            <w:pPr>
              <w:spacing w:before="60" w:after="60"/>
            </w:pPr>
            <w:r>
              <w:t>Ten</w:t>
            </w:r>
            <w:r w:rsidR="00641472">
              <w:t>-b</w:t>
            </w:r>
            <w:r>
              <w:t>illionths</w:t>
            </w:r>
          </w:p>
        </w:tc>
        <w:tc>
          <w:tcPr>
            <w:tcW w:w="4284" w:type="dxa"/>
          </w:tcPr>
          <w:p w14:paraId="5D47D88E" w14:textId="1653797B" w:rsidR="00EF100F" w:rsidRDefault="004C273E">
            <w:pPr>
              <w:spacing w:before="60" w:after="60"/>
            </w:pPr>
            <w:r>
              <w:t>In scientific notation, expressed as ten raised to the power of minus ten (10</w:t>
            </w:r>
            <w:r>
              <w:rPr>
                <w:vertAlign w:val="superscript"/>
              </w:rPr>
              <w:t>-10</w:t>
            </w:r>
            <w:r>
              <w:t>)</w:t>
            </w:r>
          </w:p>
        </w:tc>
      </w:tr>
      <w:tr w:rsidR="00EF100F" w14:paraId="4CD5DAF3" w14:textId="77777777" w:rsidTr="009A1915">
        <w:trPr>
          <w:cantSplit/>
        </w:trPr>
        <w:tc>
          <w:tcPr>
            <w:tcW w:w="1728" w:type="dxa"/>
            <w:vAlign w:val="center"/>
          </w:tcPr>
          <w:p w14:paraId="7A6E980E" w14:textId="201AE519" w:rsidR="00EF100F" w:rsidRDefault="00EF100F" w:rsidP="00961558">
            <w:pPr>
              <w:spacing w:before="60" w:after="60"/>
              <w:jc w:val="center"/>
            </w:pPr>
            <w:r>
              <w:t>-11</w:t>
            </w:r>
          </w:p>
        </w:tc>
        <w:tc>
          <w:tcPr>
            <w:tcW w:w="2916" w:type="dxa"/>
            <w:vAlign w:val="center"/>
          </w:tcPr>
          <w:p w14:paraId="7FCC4DD7" w14:textId="07B0646D" w:rsidR="00EF100F" w:rsidRDefault="00EF100F">
            <w:pPr>
              <w:spacing w:before="60" w:after="60"/>
            </w:pPr>
            <w:r>
              <w:t>Hundred</w:t>
            </w:r>
            <w:r w:rsidR="00641472">
              <w:t>-b</w:t>
            </w:r>
            <w:r>
              <w:t>illionths</w:t>
            </w:r>
          </w:p>
        </w:tc>
        <w:tc>
          <w:tcPr>
            <w:tcW w:w="4284" w:type="dxa"/>
          </w:tcPr>
          <w:p w14:paraId="5BD31B94" w14:textId="68BFE168" w:rsidR="00EF100F" w:rsidRDefault="004C273E">
            <w:pPr>
              <w:spacing w:before="60" w:after="60"/>
            </w:pPr>
            <w:r>
              <w:t>In scientific notation, expressed as ten raised to the power of minus eleven (10</w:t>
            </w:r>
            <w:r>
              <w:rPr>
                <w:vertAlign w:val="superscript"/>
              </w:rPr>
              <w:t>-11</w:t>
            </w:r>
            <w:r>
              <w:t>)</w:t>
            </w:r>
          </w:p>
        </w:tc>
      </w:tr>
      <w:tr w:rsidR="00EF100F" w14:paraId="0D91ABA5" w14:textId="77777777" w:rsidTr="009A1915">
        <w:trPr>
          <w:cantSplit/>
        </w:trPr>
        <w:tc>
          <w:tcPr>
            <w:tcW w:w="1728" w:type="dxa"/>
            <w:vAlign w:val="center"/>
          </w:tcPr>
          <w:p w14:paraId="433D827B" w14:textId="42D3C4C0" w:rsidR="00EF100F" w:rsidRDefault="00EF100F" w:rsidP="00961558">
            <w:pPr>
              <w:spacing w:before="60" w:after="60"/>
              <w:jc w:val="center"/>
            </w:pPr>
            <w:r>
              <w:t>-12</w:t>
            </w:r>
          </w:p>
        </w:tc>
        <w:tc>
          <w:tcPr>
            <w:tcW w:w="2916" w:type="dxa"/>
            <w:vAlign w:val="center"/>
          </w:tcPr>
          <w:p w14:paraId="29C3793C" w14:textId="76D102FE" w:rsidR="00EF100F" w:rsidRDefault="00EF100F" w:rsidP="00961558">
            <w:pPr>
              <w:spacing w:before="60" w:after="60"/>
            </w:pPr>
            <w:r>
              <w:t>Trillionths</w:t>
            </w:r>
          </w:p>
        </w:tc>
        <w:tc>
          <w:tcPr>
            <w:tcW w:w="4284" w:type="dxa"/>
          </w:tcPr>
          <w:p w14:paraId="4B0EB063" w14:textId="544A4424" w:rsidR="00EF100F" w:rsidRDefault="00CD2BD5">
            <w:pPr>
              <w:spacing w:before="60" w:after="60"/>
            </w:pPr>
            <w:r>
              <w:t>In scientific notation, expressed as ten raised to the power of minus twelve (10</w:t>
            </w:r>
            <w:r>
              <w:rPr>
                <w:vertAlign w:val="superscript"/>
              </w:rPr>
              <w:t>-12</w:t>
            </w:r>
            <w:r>
              <w:t>)</w:t>
            </w:r>
          </w:p>
        </w:tc>
      </w:tr>
      <w:tr w:rsidR="00EF100F" w14:paraId="1388942F" w14:textId="77777777" w:rsidTr="009A1915">
        <w:trPr>
          <w:cantSplit/>
        </w:trPr>
        <w:tc>
          <w:tcPr>
            <w:tcW w:w="1728" w:type="dxa"/>
            <w:vAlign w:val="center"/>
          </w:tcPr>
          <w:p w14:paraId="28729F13" w14:textId="512FDD54" w:rsidR="00EF100F" w:rsidRDefault="00EF100F" w:rsidP="00961558">
            <w:pPr>
              <w:spacing w:before="60" w:after="60"/>
              <w:jc w:val="center"/>
            </w:pPr>
            <w:r>
              <w:t>-13</w:t>
            </w:r>
          </w:p>
        </w:tc>
        <w:tc>
          <w:tcPr>
            <w:tcW w:w="2916" w:type="dxa"/>
            <w:vAlign w:val="center"/>
          </w:tcPr>
          <w:p w14:paraId="504D7657" w14:textId="25CE1659" w:rsidR="00EF100F" w:rsidRDefault="00EF100F">
            <w:pPr>
              <w:spacing w:before="60" w:after="60"/>
            </w:pPr>
            <w:r>
              <w:t>Ten</w:t>
            </w:r>
            <w:r w:rsidR="00641472">
              <w:t>-t</w:t>
            </w:r>
            <w:r>
              <w:t>rillionths</w:t>
            </w:r>
          </w:p>
        </w:tc>
        <w:tc>
          <w:tcPr>
            <w:tcW w:w="4284" w:type="dxa"/>
          </w:tcPr>
          <w:p w14:paraId="46C1CAA9" w14:textId="3720EFB1" w:rsidR="00EF100F" w:rsidRDefault="00CD2BD5">
            <w:pPr>
              <w:spacing w:before="60" w:after="60"/>
            </w:pPr>
            <w:r>
              <w:t>In scientific notation, expressed as ten raised to the power of minus thirteen (10</w:t>
            </w:r>
            <w:r>
              <w:rPr>
                <w:vertAlign w:val="superscript"/>
              </w:rPr>
              <w:t>-13</w:t>
            </w:r>
            <w:r>
              <w:t>)</w:t>
            </w:r>
          </w:p>
        </w:tc>
      </w:tr>
      <w:tr w:rsidR="00EF100F" w14:paraId="5F6CC8FB" w14:textId="77777777" w:rsidTr="009A1915">
        <w:trPr>
          <w:cantSplit/>
        </w:trPr>
        <w:tc>
          <w:tcPr>
            <w:tcW w:w="1728" w:type="dxa"/>
            <w:vAlign w:val="center"/>
          </w:tcPr>
          <w:p w14:paraId="79A979EE" w14:textId="344AC8B7" w:rsidR="00EF100F" w:rsidRDefault="00EF100F" w:rsidP="00961558">
            <w:pPr>
              <w:spacing w:before="60" w:after="60"/>
              <w:jc w:val="center"/>
            </w:pPr>
            <w:r>
              <w:t>-14</w:t>
            </w:r>
          </w:p>
        </w:tc>
        <w:tc>
          <w:tcPr>
            <w:tcW w:w="2916" w:type="dxa"/>
            <w:vAlign w:val="center"/>
          </w:tcPr>
          <w:p w14:paraId="75B79BC4" w14:textId="141AB2CD" w:rsidR="00EF100F" w:rsidRDefault="00EF100F">
            <w:pPr>
              <w:spacing w:before="60" w:after="60"/>
            </w:pPr>
            <w:r>
              <w:t>Hundred</w:t>
            </w:r>
            <w:r w:rsidR="00641472">
              <w:t>-t</w:t>
            </w:r>
            <w:r>
              <w:t>rillionths</w:t>
            </w:r>
          </w:p>
        </w:tc>
        <w:tc>
          <w:tcPr>
            <w:tcW w:w="4284" w:type="dxa"/>
          </w:tcPr>
          <w:p w14:paraId="1FDF953B" w14:textId="1935424D" w:rsidR="00EF100F" w:rsidRDefault="00CD2BD5">
            <w:pPr>
              <w:spacing w:before="60" w:after="60"/>
            </w:pPr>
            <w:r>
              <w:t>In scientific notation, expressed as ten raised to the power of minus fourteen (10</w:t>
            </w:r>
            <w:r>
              <w:rPr>
                <w:vertAlign w:val="superscript"/>
              </w:rPr>
              <w:t>-14</w:t>
            </w:r>
            <w:r>
              <w:t>)</w:t>
            </w:r>
          </w:p>
        </w:tc>
      </w:tr>
      <w:tr w:rsidR="00EF100F" w14:paraId="16A0B20A" w14:textId="77777777" w:rsidTr="009A1915">
        <w:trPr>
          <w:cantSplit/>
        </w:trPr>
        <w:tc>
          <w:tcPr>
            <w:tcW w:w="1728" w:type="dxa"/>
            <w:vAlign w:val="center"/>
          </w:tcPr>
          <w:p w14:paraId="6B672923" w14:textId="3402EF38" w:rsidR="00EF100F" w:rsidRDefault="00EF100F" w:rsidP="00961558">
            <w:pPr>
              <w:spacing w:before="60" w:after="60"/>
              <w:jc w:val="center"/>
              <w:rPr>
                <w:sz w:val="24"/>
                <w:szCs w:val="24"/>
              </w:rPr>
            </w:pPr>
            <w:r>
              <w:t>-15</w:t>
            </w:r>
          </w:p>
        </w:tc>
        <w:tc>
          <w:tcPr>
            <w:tcW w:w="2916" w:type="dxa"/>
            <w:vAlign w:val="center"/>
          </w:tcPr>
          <w:p w14:paraId="6FA20964" w14:textId="051F754C" w:rsidR="00EF100F" w:rsidRPr="006D0EE5" w:rsidRDefault="00EF100F" w:rsidP="00961558">
            <w:pPr>
              <w:spacing w:before="60" w:after="60"/>
              <w:rPr>
                <w:szCs w:val="24"/>
              </w:rPr>
            </w:pPr>
            <w:r>
              <w:t>Quadrillionths</w:t>
            </w:r>
          </w:p>
        </w:tc>
        <w:tc>
          <w:tcPr>
            <w:tcW w:w="4284" w:type="dxa"/>
          </w:tcPr>
          <w:p w14:paraId="364F2DE6" w14:textId="14FE7998" w:rsidR="00EF100F" w:rsidRDefault="00CD2BD5">
            <w:pPr>
              <w:spacing w:before="60" w:after="60"/>
            </w:pPr>
            <w:r>
              <w:t>In scientific notation, expressed as ten raised to the power of minus fifteen (10</w:t>
            </w:r>
            <w:r>
              <w:rPr>
                <w:vertAlign w:val="superscript"/>
              </w:rPr>
              <w:t>-15</w:t>
            </w:r>
            <w:r>
              <w:t>)</w:t>
            </w:r>
          </w:p>
        </w:tc>
      </w:tr>
    </w:tbl>
    <w:p w14:paraId="7165C41F" w14:textId="6ABCC9CC" w:rsidR="006E31A0" w:rsidRPr="009A1915" w:rsidRDefault="006E31A0" w:rsidP="009A1915">
      <w:pPr>
        <w:pStyle w:val="style1"/>
        <w:spacing w:before="480" w:beforeAutospacing="0" w:after="0" w:afterAutospacing="0"/>
        <w:jc w:val="both"/>
        <w:rPr>
          <w:sz w:val="22"/>
        </w:rPr>
      </w:pPr>
      <w:r w:rsidRPr="009A1915">
        <w:rPr>
          <w:rStyle w:val="Strong"/>
          <w:sz w:val="22"/>
        </w:rPr>
        <w:t>Remarks</w:t>
      </w:r>
      <w:r w:rsidRPr="009A1915">
        <w:rPr>
          <w:sz w:val="22"/>
        </w:rPr>
        <w:t xml:space="preserve">: The </w:t>
      </w:r>
      <w:proofErr w:type="spellStart"/>
      <w:r w:rsidRPr="009A1915">
        <w:rPr>
          <w:sz w:val="22"/>
        </w:rPr>
        <w:t>UNIT_MULT</w:t>
      </w:r>
      <w:proofErr w:type="spellEnd"/>
      <w:r w:rsidRPr="009A1915">
        <w:rPr>
          <w:sz w:val="22"/>
        </w:rPr>
        <w:t xml:space="preserve"> concept as defined in the SDMX Glossary can be represented by an Integer data type as well as this code list. In order to keep the two possible representation</w:t>
      </w:r>
      <w:r w:rsidR="00F1749B" w:rsidRPr="009A1915">
        <w:rPr>
          <w:sz w:val="22"/>
        </w:rPr>
        <w:t>s</w:t>
      </w:r>
      <w:r w:rsidRPr="009A1915">
        <w:rPr>
          <w:sz w:val="22"/>
        </w:rPr>
        <w:t xml:space="preserve"> fully compatible, this code list uses the hyphen character in codes for negative values. The hyphen is technically allowed in the SDMX standard. However, the guideline for creating SDMX code lists usually does not recommend it to be used for codes because it might be confused with a mathematical minus</w:t>
      </w:r>
      <w:r w:rsidR="00F1749B" w:rsidRPr="009A1915">
        <w:rPr>
          <w:sz w:val="22"/>
        </w:rPr>
        <w:t xml:space="preserve"> but </w:t>
      </w:r>
      <w:r w:rsidRPr="009A1915">
        <w:rPr>
          <w:sz w:val="22"/>
        </w:rPr>
        <w:t xml:space="preserve">in this case the meaning of the hyphen is the mathematical minus. This not only makes the two representations (Integer, code list) fully compatible for SDMX messages, but also allows using the concept directly in formulas (e.g. </w:t>
      </w:r>
      <w:proofErr w:type="spellStart"/>
      <w:r w:rsidRPr="009A1915">
        <w:rPr>
          <w:sz w:val="22"/>
        </w:rPr>
        <w:t>VTL</w:t>
      </w:r>
      <w:proofErr w:type="spellEnd"/>
      <w:r w:rsidRPr="009A1915">
        <w:rPr>
          <w:sz w:val="22"/>
        </w:rPr>
        <w:t xml:space="preserve"> scripts) without </w:t>
      </w:r>
      <w:r w:rsidR="00F1749B" w:rsidRPr="009A1915">
        <w:rPr>
          <w:sz w:val="22"/>
        </w:rPr>
        <w:t xml:space="preserve">the need for </w:t>
      </w:r>
      <w:r w:rsidRPr="009A1915">
        <w:rPr>
          <w:sz w:val="22"/>
        </w:rPr>
        <w:t>additional parsing.</w:t>
      </w:r>
    </w:p>
    <w:sectPr w:rsidR="006E31A0" w:rsidRPr="009A1915" w:rsidSect="00F90FE4">
      <w:footerReference w:type="even" r:id="rId8"/>
      <w:footerReference w:type="default" r:id="rId9"/>
      <w:headerReference w:type="first" r:id="rId10"/>
      <w:pgSz w:w="11906" w:h="16838" w:code="9"/>
      <w:pgMar w:top="1440" w:right="1466"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F3EEE" w14:textId="77777777" w:rsidR="00A4678C" w:rsidRPr="00C764E5" w:rsidRDefault="00A4678C" w:rsidP="00B1062F">
      <w:pPr>
        <w:pStyle w:val="Paragraph"/>
        <w:rPr>
          <w:sz w:val="20"/>
        </w:rPr>
      </w:pPr>
      <w:r>
        <w:separator/>
      </w:r>
    </w:p>
  </w:endnote>
  <w:endnote w:type="continuationSeparator" w:id="0">
    <w:p w14:paraId="1C8F3EEF" w14:textId="77777777" w:rsidR="00A4678C" w:rsidRPr="00C764E5" w:rsidRDefault="00A4678C" w:rsidP="00B1062F">
      <w:pPr>
        <w:pStyle w:val="Paragraph"/>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3EF0" w14:textId="77777777" w:rsidR="00B01B16" w:rsidRDefault="00B01B16" w:rsidP="007C0D6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C8F3EF1" w14:textId="77777777" w:rsidR="00B01B16" w:rsidRDefault="00B01B16" w:rsidP="007C0D6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3EF2" w14:textId="77777777" w:rsidR="00B01B16" w:rsidRDefault="00B01B16" w:rsidP="007C0D6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E3414">
      <w:rPr>
        <w:rStyle w:val="PageNumber"/>
        <w:noProof/>
      </w:rPr>
      <w:t>2</w:t>
    </w:r>
    <w:r>
      <w:rPr>
        <w:rStyle w:val="PageNumber"/>
      </w:rPr>
      <w:fldChar w:fldCharType="end"/>
    </w:r>
  </w:p>
  <w:p w14:paraId="1C8F3EF3" w14:textId="77777777" w:rsidR="00B01B16" w:rsidRDefault="00B01B16" w:rsidP="007C0D6C">
    <w:pPr>
      <w:pStyle w:val="Footer"/>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F3EEC" w14:textId="77777777" w:rsidR="00A4678C" w:rsidRPr="00C764E5" w:rsidRDefault="00A4678C" w:rsidP="00B1062F">
      <w:pPr>
        <w:pStyle w:val="Paragraph"/>
        <w:rPr>
          <w:sz w:val="20"/>
        </w:rPr>
      </w:pPr>
      <w:r>
        <w:separator/>
      </w:r>
    </w:p>
  </w:footnote>
  <w:footnote w:type="continuationSeparator" w:id="0">
    <w:p w14:paraId="1C8F3EED" w14:textId="77777777" w:rsidR="00A4678C" w:rsidRPr="00C764E5" w:rsidRDefault="00A4678C" w:rsidP="00B1062F">
      <w:pPr>
        <w:pStyle w:val="Paragraph"/>
        <w:rPr>
          <w:sz w:val="2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3EF4" w14:textId="77777777" w:rsidR="00B01B16" w:rsidRDefault="00A95BB3" w:rsidP="009556D6">
    <w:pPr>
      <w:pStyle w:val="Header"/>
      <w:jc w:val="center"/>
    </w:pPr>
    <w:r>
      <w:rPr>
        <w:noProof/>
        <w:lang w:eastAsia="en-GB"/>
      </w:rPr>
      <w:drawing>
        <wp:inline distT="0" distB="0" distL="0" distR="0" wp14:anchorId="1C8F3EF5" wp14:editId="1C8F3EF6">
          <wp:extent cx="1371600" cy="542925"/>
          <wp:effectExtent l="0" t="0" r="0" b="0"/>
          <wp:docPr id="1" name="Picture 1" descr="sdm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mx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56BD"/>
    <w:multiLevelType w:val="hybridMultilevel"/>
    <w:tmpl w:val="B77C8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9C725B"/>
    <w:multiLevelType w:val="hybridMultilevel"/>
    <w:tmpl w:val="A55E9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BF1CF3"/>
    <w:multiLevelType w:val="hybridMultilevel"/>
    <w:tmpl w:val="9E3AA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2522C2"/>
    <w:multiLevelType w:val="hybridMultilevel"/>
    <w:tmpl w:val="4656B06C"/>
    <w:lvl w:ilvl="0" w:tplc="AB2671BC">
      <w:start w:val="1"/>
      <w:numFmt w:val="bullet"/>
      <w:lvlText w:val=""/>
      <w:lvlJc w:val="left"/>
      <w:pPr>
        <w:tabs>
          <w:tab w:val="num" w:pos="284"/>
        </w:tabs>
        <w:ind w:left="34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9403047"/>
    <w:multiLevelType w:val="hybridMultilevel"/>
    <w:tmpl w:val="DA1AC928"/>
    <w:lvl w:ilvl="0" w:tplc="7F44C14E">
      <w:start w:val="1"/>
      <w:numFmt w:val="decimal"/>
      <w:lvlText w:val="%1."/>
      <w:lvlJc w:val="left"/>
      <w:pPr>
        <w:tabs>
          <w:tab w:val="num" w:pos="720"/>
        </w:tabs>
        <w:ind w:left="720" w:hanging="360"/>
      </w:pPr>
    </w:lvl>
    <w:lvl w:ilvl="1" w:tplc="BA2257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9D32D7"/>
    <w:multiLevelType w:val="multilevel"/>
    <w:tmpl w:val="D930A10E"/>
    <w:lvl w:ilvl="0">
      <w:start w:val="1"/>
      <w:numFmt w:val="decimal"/>
      <w:lvlText w:val="%1"/>
      <w:lvlJc w:val="left"/>
      <w:pPr>
        <w:tabs>
          <w:tab w:val="num" w:pos="432"/>
        </w:tabs>
        <w:ind w:left="432" w:hanging="432"/>
      </w:pPr>
    </w:lvl>
    <w:lvl w:ilvl="1">
      <w:start w:val="1"/>
      <w:numFmt w:val="decimal"/>
      <w:lvlText w:val="%1.%2"/>
      <w:lvlJc w:val="left"/>
      <w:pPr>
        <w:tabs>
          <w:tab w:val="num" w:pos="2916"/>
        </w:tabs>
        <w:ind w:left="291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4BE37FAF"/>
    <w:multiLevelType w:val="hybridMultilevel"/>
    <w:tmpl w:val="6BA2B3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4DFD35C5"/>
    <w:multiLevelType w:val="hybridMultilevel"/>
    <w:tmpl w:val="5C8E2078"/>
    <w:lvl w:ilvl="0" w:tplc="BA2257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156262E"/>
    <w:multiLevelType w:val="hybridMultilevel"/>
    <w:tmpl w:val="CBCCD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66440D0C"/>
    <w:multiLevelType w:val="hybridMultilevel"/>
    <w:tmpl w:val="5D0293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6DC55C1D"/>
    <w:multiLevelType w:val="hybridMultilevel"/>
    <w:tmpl w:val="2CD8D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DD5158"/>
    <w:multiLevelType w:val="hybridMultilevel"/>
    <w:tmpl w:val="E52C5DAE"/>
    <w:lvl w:ilvl="0" w:tplc="9578BA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B633F3"/>
    <w:multiLevelType w:val="hybridMultilevel"/>
    <w:tmpl w:val="708C40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7A417024"/>
    <w:multiLevelType w:val="hybridMultilevel"/>
    <w:tmpl w:val="DDEAF85C"/>
    <w:lvl w:ilvl="0" w:tplc="FFFFFFFF">
      <w:start w:val="1"/>
      <w:numFmt w:val="bullet"/>
      <w:pStyle w:val="Caption"/>
      <w:lvlText w:val=""/>
      <w:lvlJc w:val="left"/>
      <w:pPr>
        <w:tabs>
          <w:tab w:val="num" w:pos="360"/>
        </w:tabs>
        <w:ind w:left="0" w:firstLine="0"/>
      </w:pPr>
      <w:rPr>
        <w:rFonts w:ascii="Wingdings 2" w:hAnsi="Wingdings 2"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7B6F1809"/>
    <w:multiLevelType w:val="hybridMultilevel"/>
    <w:tmpl w:val="7828FC84"/>
    <w:lvl w:ilvl="0" w:tplc="AB2671BC">
      <w:start w:val="1"/>
      <w:numFmt w:val="bullet"/>
      <w:lvlText w:val=""/>
      <w:lvlJc w:val="left"/>
      <w:pPr>
        <w:tabs>
          <w:tab w:val="num" w:pos="284"/>
        </w:tabs>
        <w:ind w:left="34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0"/>
  </w:num>
  <w:num w:numId="4">
    <w:abstractNumId w:val="1"/>
  </w:num>
  <w:num w:numId="5">
    <w:abstractNumId w:val="2"/>
  </w:num>
  <w:num w:numId="6">
    <w:abstractNumId w:val="11"/>
  </w:num>
  <w:num w:numId="7">
    <w:abstractNumId w:val="0"/>
  </w:num>
  <w:num w:numId="8">
    <w:abstractNumId w:val="8"/>
  </w:num>
  <w:num w:numId="9">
    <w:abstractNumId w:val="6"/>
  </w:num>
  <w:num w:numId="10">
    <w:abstractNumId w:val="4"/>
  </w:num>
  <w:num w:numId="11">
    <w:abstractNumId w:val="4"/>
  </w:num>
  <w:num w:numId="12">
    <w:abstractNumId w:val="4"/>
  </w:num>
  <w:num w:numId="13">
    <w:abstractNumId w:val="12"/>
  </w:num>
  <w:num w:numId="14">
    <w:abstractNumId w:val="7"/>
  </w:num>
  <w:num w:numId="15">
    <w:abstractNumId w:val="9"/>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o:colormru v:ext="edit" colors="#369"/>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DMX-TEMPLATE"/>
  </w:docVars>
  <w:rsids>
    <w:rsidRoot w:val="0048155C"/>
    <w:rsid w:val="0000039A"/>
    <w:rsid w:val="000013CC"/>
    <w:rsid w:val="000035FB"/>
    <w:rsid w:val="00005993"/>
    <w:rsid w:val="000067F3"/>
    <w:rsid w:val="000104C7"/>
    <w:rsid w:val="000107DF"/>
    <w:rsid w:val="00011B2E"/>
    <w:rsid w:val="0001274E"/>
    <w:rsid w:val="00013940"/>
    <w:rsid w:val="00016A65"/>
    <w:rsid w:val="000174BF"/>
    <w:rsid w:val="00017E3C"/>
    <w:rsid w:val="00023E83"/>
    <w:rsid w:val="00024B8D"/>
    <w:rsid w:val="00031D2A"/>
    <w:rsid w:val="00031E45"/>
    <w:rsid w:val="00033290"/>
    <w:rsid w:val="00033BBB"/>
    <w:rsid w:val="00034582"/>
    <w:rsid w:val="00034DFB"/>
    <w:rsid w:val="000420BB"/>
    <w:rsid w:val="00043A03"/>
    <w:rsid w:val="00044414"/>
    <w:rsid w:val="00045E7A"/>
    <w:rsid w:val="00047D70"/>
    <w:rsid w:val="0005082A"/>
    <w:rsid w:val="00051E1F"/>
    <w:rsid w:val="000543CD"/>
    <w:rsid w:val="00054EC2"/>
    <w:rsid w:val="000559A5"/>
    <w:rsid w:val="00055EB5"/>
    <w:rsid w:val="00060118"/>
    <w:rsid w:val="00061C71"/>
    <w:rsid w:val="00064A0E"/>
    <w:rsid w:val="00067394"/>
    <w:rsid w:val="000708FE"/>
    <w:rsid w:val="00074737"/>
    <w:rsid w:val="00076C1A"/>
    <w:rsid w:val="0008018B"/>
    <w:rsid w:val="00080F47"/>
    <w:rsid w:val="000847DA"/>
    <w:rsid w:val="00085C81"/>
    <w:rsid w:val="00086012"/>
    <w:rsid w:val="00090A25"/>
    <w:rsid w:val="00095C11"/>
    <w:rsid w:val="00096332"/>
    <w:rsid w:val="0009688F"/>
    <w:rsid w:val="00096FCE"/>
    <w:rsid w:val="00097FA8"/>
    <w:rsid w:val="000B69C9"/>
    <w:rsid w:val="000C09F4"/>
    <w:rsid w:val="000C0D1C"/>
    <w:rsid w:val="000C22F2"/>
    <w:rsid w:val="000C71E4"/>
    <w:rsid w:val="000C78C8"/>
    <w:rsid w:val="000C7946"/>
    <w:rsid w:val="000D3824"/>
    <w:rsid w:val="000D3ADB"/>
    <w:rsid w:val="000E10FE"/>
    <w:rsid w:val="000E4C34"/>
    <w:rsid w:val="000E5131"/>
    <w:rsid w:val="000E5A20"/>
    <w:rsid w:val="000E6063"/>
    <w:rsid w:val="000E77BF"/>
    <w:rsid w:val="000E78FE"/>
    <w:rsid w:val="000F011B"/>
    <w:rsid w:val="000F0368"/>
    <w:rsid w:val="000F08CE"/>
    <w:rsid w:val="000F2924"/>
    <w:rsid w:val="000F2A62"/>
    <w:rsid w:val="000F2DB5"/>
    <w:rsid w:val="000F5F7F"/>
    <w:rsid w:val="001002DC"/>
    <w:rsid w:val="00100FD8"/>
    <w:rsid w:val="001028DB"/>
    <w:rsid w:val="00102A03"/>
    <w:rsid w:val="00104129"/>
    <w:rsid w:val="00105ADB"/>
    <w:rsid w:val="001064B1"/>
    <w:rsid w:val="001071FB"/>
    <w:rsid w:val="00110C8D"/>
    <w:rsid w:val="001113A4"/>
    <w:rsid w:val="00115E65"/>
    <w:rsid w:val="00122906"/>
    <w:rsid w:val="001249D6"/>
    <w:rsid w:val="001249F2"/>
    <w:rsid w:val="001305BB"/>
    <w:rsid w:val="00130DA5"/>
    <w:rsid w:val="00130E25"/>
    <w:rsid w:val="00131315"/>
    <w:rsid w:val="0013194F"/>
    <w:rsid w:val="001333ED"/>
    <w:rsid w:val="0013356A"/>
    <w:rsid w:val="001357D2"/>
    <w:rsid w:val="0013665A"/>
    <w:rsid w:val="00145186"/>
    <w:rsid w:val="00147066"/>
    <w:rsid w:val="00150264"/>
    <w:rsid w:val="00150802"/>
    <w:rsid w:val="00151D88"/>
    <w:rsid w:val="00155FA2"/>
    <w:rsid w:val="00164B61"/>
    <w:rsid w:val="00167BBD"/>
    <w:rsid w:val="00171BB7"/>
    <w:rsid w:val="001731AD"/>
    <w:rsid w:val="001732FC"/>
    <w:rsid w:val="001746A5"/>
    <w:rsid w:val="0018009C"/>
    <w:rsid w:val="0018479B"/>
    <w:rsid w:val="00184982"/>
    <w:rsid w:val="001871BB"/>
    <w:rsid w:val="00190E79"/>
    <w:rsid w:val="00190FCE"/>
    <w:rsid w:val="00192E49"/>
    <w:rsid w:val="00193D25"/>
    <w:rsid w:val="0019580D"/>
    <w:rsid w:val="00195BBB"/>
    <w:rsid w:val="00196BDB"/>
    <w:rsid w:val="00197056"/>
    <w:rsid w:val="001979C2"/>
    <w:rsid w:val="001A2569"/>
    <w:rsid w:val="001A36B6"/>
    <w:rsid w:val="001A53A0"/>
    <w:rsid w:val="001A64FE"/>
    <w:rsid w:val="001A7323"/>
    <w:rsid w:val="001B0D04"/>
    <w:rsid w:val="001C7A2D"/>
    <w:rsid w:val="001D208E"/>
    <w:rsid w:val="001D6C97"/>
    <w:rsid w:val="001D781B"/>
    <w:rsid w:val="001D791C"/>
    <w:rsid w:val="001E00C6"/>
    <w:rsid w:val="001E232D"/>
    <w:rsid w:val="001E685C"/>
    <w:rsid w:val="001F1351"/>
    <w:rsid w:val="001F43B0"/>
    <w:rsid w:val="001F7705"/>
    <w:rsid w:val="001F7794"/>
    <w:rsid w:val="00200694"/>
    <w:rsid w:val="0020076A"/>
    <w:rsid w:val="00200B4F"/>
    <w:rsid w:val="00202389"/>
    <w:rsid w:val="00206AF1"/>
    <w:rsid w:val="0020712B"/>
    <w:rsid w:val="00210666"/>
    <w:rsid w:val="002113B7"/>
    <w:rsid w:val="002146CE"/>
    <w:rsid w:val="0021765C"/>
    <w:rsid w:val="00220507"/>
    <w:rsid w:val="00222E0C"/>
    <w:rsid w:val="002237E3"/>
    <w:rsid w:val="002244DE"/>
    <w:rsid w:val="0022618A"/>
    <w:rsid w:val="0023106A"/>
    <w:rsid w:val="002332E6"/>
    <w:rsid w:val="002347F4"/>
    <w:rsid w:val="00235268"/>
    <w:rsid w:val="00236961"/>
    <w:rsid w:val="00237784"/>
    <w:rsid w:val="002411AF"/>
    <w:rsid w:val="00243170"/>
    <w:rsid w:val="00244227"/>
    <w:rsid w:val="0024726B"/>
    <w:rsid w:val="00247A67"/>
    <w:rsid w:val="00252530"/>
    <w:rsid w:val="0026070D"/>
    <w:rsid w:val="00260A7F"/>
    <w:rsid w:val="00260E59"/>
    <w:rsid w:val="00260E7D"/>
    <w:rsid w:val="00261F06"/>
    <w:rsid w:val="00262BDC"/>
    <w:rsid w:val="00263D4E"/>
    <w:rsid w:val="00267137"/>
    <w:rsid w:val="00270380"/>
    <w:rsid w:val="002731B9"/>
    <w:rsid w:val="00274F1F"/>
    <w:rsid w:val="00281DC4"/>
    <w:rsid w:val="00284295"/>
    <w:rsid w:val="00284836"/>
    <w:rsid w:val="00286A89"/>
    <w:rsid w:val="00292802"/>
    <w:rsid w:val="002939BF"/>
    <w:rsid w:val="002941FD"/>
    <w:rsid w:val="00294482"/>
    <w:rsid w:val="00294B81"/>
    <w:rsid w:val="002966FC"/>
    <w:rsid w:val="00296BD0"/>
    <w:rsid w:val="002A2C08"/>
    <w:rsid w:val="002A32FA"/>
    <w:rsid w:val="002A462D"/>
    <w:rsid w:val="002A5DB9"/>
    <w:rsid w:val="002A6268"/>
    <w:rsid w:val="002B6F06"/>
    <w:rsid w:val="002C1181"/>
    <w:rsid w:val="002C43E4"/>
    <w:rsid w:val="002C62B3"/>
    <w:rsid w:val="002C7FE4"/>
    <w:rsid w:val="002D3E13"/>
    <w:rsid w:val="002D40BC"/>
    <w:rsid w:val="002D6177"/>
    <w:rsid w:val="002E0BA7"/>
    <w:rsid w:val="002E0DDE"/>
    <w:rsid w:val="002E18BA"/>
    <w:rsid w:val="002E226F"/>
    <w:rsid w:val="002E2D2A"/>
    <w:rsid w:val="002E2DDE"/>
    <w:rsid w:val="002E5D22"/>
    <w:rsid w:val="002E740D"/>
    <w:rsid w:val="002F2186"/>
    <w:rsid w:val="002F29A2"/>
    <w:rsid w:val="002F41FF"/>
    <w:rsid w:val="002F5886"/>
    <w:rsid w:val="002F6DF9"/>
    <w:rsid w:val="002F76FF"/>
    <w:rsid w:val="002F7A1A"/>
    <w:rsid w:val="00300769"/>
    <w:rsid w:val="003071A5"/>
    <w:rsid w:val="00307270"/>
    <w:rsid w:val="003078EA"/>
    <w:rsid w:val="00307F77"/>
    <w:rsid w:val="003122D2"/>
    <w:rsid w:val="00313315"/>
    <w:rsid w:val="003137CA"/>
    <w:rsid w:val="00317315"/>
    <w:rsid w:val="0032408F"/>
    <w:rsid w:val="00325F6A"/>
    <w:rsid w:val="0032744A"/>
    <w:rsid w:val="00327B02"/>
    <w:rsid w:val="0033113F"/>
    <w:rsid w:val="00337D07"/>
    <w:rsid w:val="003409AA"/>
    <w:rsid w:val="00343B9C"/>
    <w:rsid w:val="00343D7F"/>
    <w:rsid w:val="00344F97"/>
    <w:rsid w:val="0034695D"/>
    <w:rsid w:val="00346F60"/>
    <w:rsid w:val="0035199C"/>
    <w:rsid w:val="00354142"/>
    <w:rsid w:val="00354ECD"/>
    <w:rsid w:val="00360F87"/>
    <w:rsid w:val="00361646"/>
    <w:rsid w:val="00362E41"/>
    <w:rsid w:val="0036359B"/>
    <w:rsid w:val="003640CB"/>
    <w:rsid w:val="003670B6"/>
    <w:rsid w:val="00374787"/>
    <w:rsid w:val="00376BE0"/>
    <w:rsid w:val="0038026F"/>
    <w:rsid w:val="00380855"/>
    <w:rsid w:val="00381F82"/>
    <w:rsid w:val="00382DAD"/>
    <w:rsid w:val="00383D29"/>
    <w:rsid w:val="00386880"/>
    <w:rsid w:val="00387271"/>
    <w:rsid w:val="003873D3"/>
    <w:rsid w:val="00387496"/>
    <w:rsid w:val="00387FA6"/>
    <w:rsid w:val="003921A4"/>
    <w:rsid w:val="00393C9A"/>
    <w:rsid w:val="00395078"/>
    <w:rsid w:val="00397C34"/>
    <w:rsid w:val="003A0A32"/>
    <w:rsid w:val="003A4428"/>
    <w:rsid w:val="003A4FDC"/>
    <w:rsid w:val="003A6FF1"/>
    <w:rsid w:val="003B0C6A"/>
    <w:rsid w:val="003B15B1"/>
    <w:rsid w:val="003B4A10"/>
    <w:rsid w:val="003B5850"/>
    <w:rsid w:val="003B5AC4"/>
    <w:rsid w:val="003B7436"/>
    <w:rsid w:val="003C273D"/>
    <w:rsid w:val="003C7160"/>
    <w:rsid w:val="003D35B4"/>
    <w:rsid w:val="003D54F8"/>
    <w:rsid w:val="003D5C9A"/>
    <w:rsid w:val="003E07B1"/>
    <w:rsid w:val="003E0E55"/>
    <w:rsid w:val="003E26B3"/>
    <w:rsid w:val="003F0F2C"/>
    <w:rsid w:val="003F28A8"/>
    <w:rsid w:val="003F5016"/>
    <w:rsid w:val="003F7DDB"/>
    <w:rsid w:val="0040008D"/>
    <w:rsid w:val="00402153"/>
    <w:rsid w:val="00403F21"/>
    <w:rsid w:val="00406290"/>
    <w:rsid w:val="004111EC"/>
    <w:rsid w:val="0041182F"/>
    <w:rsid w:val="00412BE3"/>
    <w:rsid w:val="004132EA"/>
    <w:rsid w:val="00413AF6"/>
    <w:rsid w:val="00414372"/>
    <w:rsid w:val="00414DEE"/>
    <w:rsid w:val="0041593C"/>
    <w:rsid w:val="00416019"/>
    <w:rsid w:val="004162B3"/>
    <w:rsid w:val="00416C62"/>
    <w:rsid w:val="00416E21"/>
    <w:rsid w:val="00417C2B"/>
    <w:rsid w:val="00422BD7"/>
    <w:rsid w:val="00422C22"/>
    <w:rsid w:val="00424118"/>
    <w:rsid w:val="00425238"/>
    <w:rsid w:val="00425772"/>
    <w:rsid w:val="00425F49"/>
    <w:rsid w:val="00426A26"/>
    <w:rsid w:val="00430087"/>
    <w:rsid w:val="00431F08"/>
    <w:rsid w:val="00432472"/>
    <w:rsid w:val="004327D7"/>
    <w:rsid w:val="004351C5"/>
    <w:rsid w:val="00436E99"/>
    <w:rsid w:val="00437682"/>
    <w:rsid w:val="00437FED"/>
    <w:rsid w:val="00440600"/>
    <w:rsid w:val="00442312"/>
    <w:rsid w:val="00443067"/>
    <w:rsid w:val="004447D0"/>
    <w:rsid w:val="00450203"/>
    <w:rsid w:val="00456E8E"/>
    <w:rsid w:val="0045796B"/>
    <w:rsid w:val="00460751"/>
    <w:rsid w:val="00460F76"/>
    <w:rsid w:val="00465594"/>
    <w:rsid w:val="00467277"/>
    <w:rsid w:val="004765F8"/>
    <w:rsid w:val="00481426"/>
    <w:rsid w:val="0048155C"/>
    <w:rsid w:val="00484E64"/>
    <w:rsid w:val="004877C0"/>
    <w:rsid w:val="0049329B"/>
    <w:rsid w:val="004A02E1"/>
    <w:rsid w:val="004A0CCB"/>
    <w:rsid w:val="004A1718"/>
    <w:rsid w:val="004A2497"/>
    <w:rsid w:val="004A4AA0"/>
    <w:rsid w:val="004A6840"/>
    <w:rsid w:val="004A7483"/>
    <w:rsid w:val="004B1C82"/>
    <w:rsid w:val="004B2510"/>
    <w:rsid w:val="004B282C"/>
    <w:rsid w:val="004B2C78"/>
    <w:rsid w:val="004B3EFD"/>
    <w:rsid w:val="004B5C92"/>
    <w:rsid w:val="004B6C4B"/>
    <w:rsid w:val="004C0AD8"/>
    <w:rsid w:val="004C273E"/>
    <w:rsid w:val="004C3251"/>
    <w:rsid w:val="004C3A00"/>
    <w:rsid w:val="004C47B0"/>
    <w:rsid w:val="004D130D"/>
    <w:rsid w:val="004D1787"/>
    <w:rsid w:val="004D34EF"/>
    <w:rsid w:val="004D4941"/>
    <w:rsid w:val="004D5AC7"/>
    <w:rsid w:val="004D7CFC"/>
    <w:rsid w:val="004E008D"/>
    <w:rsid w:val="004E1546"/>
    <w:rsid w:val="004E50F3"/>
    <w:rsid w:val="004E67FE"/>
    <w:rsid w:val="004E6BF5"/>
    <w:rsid w:val="004F00A8"/>
    <w:rsid w:val="004F1D3E"/>
    <w:rsid w:val="004F623D"/>
    <w:rsid w:val="0050494B"/>
    <w:rsid w:val="005049B7"/>
    <w:rsid w:val="00507A82"/>
    <w:rsid w:val="005128BB"/>
    <w:rsid w:val="00513BB8"/>
    <w:rsid w:val="00513F20"/>
    <w:rsid w:val="00517005"/>
    <w:rsid w:val="005173BA"/>
    <w:rsid w:val="005245FF"/>
    <w:rsid w:val="005247C0"/>
    <w:rsid w:val="005258C2"/>
    <w:rsid w:val="00525B83"/>
    <w:rsid w:val="00525D8D"/>
    <w:rsid w:val="00526E84"/>
    <w:rsid w:val="00531055"/>
    <w:rsid w:val="005415BA"/>
    <w:rsid w:val="00542115"/>
    <w:rsid w:val="00544FAD"/>
    <w:rsid w:val="00545CA9"/>
    <w:rsid w:val="00546F17"/>
    <w:rsid w:val="00550350"/>
    <w:rsid w:val="00551189"/>
    <w:rsid w:val="005521FE"/>
    <w:rsid w:val="005522A0"/>
    <w:rsid w:val="005544DE"/>
    <w:rsid w:val="00554A88"/>
    <w:rsid w:val="00561474"/>
    <w:rsid w:val="0056290D"/>
    <w:rsid w:val="005646BB"/>
    <w:rsid w:val="00564CCB"/>
    <w:rsid w:val="00565F8F"/>
    <w:rsid w:val="00566C99"/>
    <w:rsid w:val="00567BB7"/>
    <w:rsid w:val="00573592"/>
    <w:rsid w:val="00574C1E"/>
    <w:rsid w:val="00577BD0"/>
    <w:rsid w:val="005800CE"/>
    <w:rsid w:val="00582ACC"/>
    <w:rsid w:val="005842F6"/>
    <w:rsid w:val="00590703"/>
    <w:rsid w:val="00591F47"/>
    <w:rsid w:val="00592C30"/>
    <w:rsid w:val="0059375F"/>
    <w:rsid w:val="00596DED"/>
    <w:rsid w:val="005A1A71"/>
    <w:rsid w:val="005A1DA4"/>
    <w:rsid w:val="005A3373"/>
    <w:rsid w:val="005A3EFC"/>
    <w:rsid w:val="005A5223"/>
    <w:rsid w:val="005A622F"/>
    <w:rsid w:val="005B2E74"/>
    <w:rsid w:val="005B47E1"/>
    <w:rsid w:val="005B5504"/>
    <w:rsid w:val="005B58C4"/>
    <w:rsid w:val="005B72A2"/>
    <w:rsid w:val="005B7A0F"/>
    <w:rsid w:val="005C2E74"/>
    <w:rsid w:val="005C398B"/>
    <w:rsid w:val="005C3C1D"/>
    <w:rsid w:val="005C3E1E"/>
    <w:rsid w:val="005C7982"/>
    <w:rsid w:val="005D0FFD"/>
    <w:rsid w:val="005D1803"/>
    <w:rsid w:val="005D2BD9"/>
    <w:rsid w:val="005D3147"/>
    <w:rsid w:val="005D3D2D"/>
    <w:rsid w:val="005D473C"/>
    <w:rsid w:val="005D7323"/>
    <w:rsid w:val="005D7E69"/>
    <w:rsid w:val="005E3CE4"/>
    <w:rsid w:val="005F03CC"/>
    <w:rsid w:val="005F21B0"/>
    <w:rsid w:val="005F30B3"/>
    <w:rsid w:val="005F35D9"/>
    <w:rsid w:val="005F37BB"/>
    <w:rsid w:val="005F386E"/>
    <w:rsid w:val="005F419D"/>
    <w:rsid w:val="005F62D2"/>
    <w:rsid w:val="005F711E"/>
    <w:rsid w:val="005F7A0D"/>
    <w:rsid w:val="006022AC"/>
    <w:rsid w:val="00602B08"/>
    <w:rsid w:val="00605369"/>
    <w:rsid w:val="00605E2C"/>
    <w:rsid w:val="00613A85"/>
    <w:rsid w:val="00613D23"/>
    <w:rsid w:val="00615AB9"/>
    <w:rsid w:val="00622B00"/>
    <w:rsid w:val="00623E3C"/>
    <w:rsid w:val="0062430F"/>
    <w:rsid w:val="00626533"/>
    <w:rsid w:val="006277EB"/>
    <w:rsid w:val="00632E9F"/>
    <w:rsid w:val="00632F47"/>
    <w:rsid w:val="00636FCD"/>
    <w:rsid w:val="00637BC3"/>
    <w:rsid w:val="00641472"/>
    <w:rsid w:val="006437A6"/>
    <w:rsid w:val="00643BE4"/>
    <w:rsid w:val="00643D71"/>
    <w:rsid w:val="00645115"/>
    <w:rsid w:val="006462B7"/>
    <w:rsid w:val="006501B3"/>
    <w:rsid w:val="006506BE"/>
    <w:rsid w:val="00651729"/>
    <w:rsid w:val="00652C28"/>
    <w:rsid w:val="00654C4F"/>
    <w:rsid w:val="0065537A"/>
    <w:rsid w:val="0065581F"/>
    <w:rsid w:val="0066300F"/>
    <w:rsid w:val="00663D01"/>
    <w:rsid w:val="00667732"/>
    <w:rsid w:val="006745C2"/>
    <w:rsid w:val="006769E8"/>
    <w:rsid w:val="00677580"/>
    <w:rsid w:val="00677779"/>
    <w:rsid w:val="00677831"/>
    <w:rsid w:val="006811D2"/>
    <w:rsid w:val="00684072"/>
    <w:rsid w:val="00690DE0"/>
    <w:rsid w:val="00691784"/>
    <w:rsid w:val="00691E14"/>
    <w:rsid w:val="00697B28"/>
    <w:rsid w:val="006A2967"/>
    <w:rsid w:val="006A5E14"/>
    <w:rsid w:val="006B09DB"/>
    <w:rsid w:val="006B1923"/>
    <w:rsid w:val="006B2169"/>
    <w:rsid w:val="006B3540"/>
    <w:rsid w:val="006B3965"/>
    <w:rsid w:val="006B4DC9"/>
    <w:rsid w:val="006B5281"/>
    <w:rsid w:val="006B670A"/>
    <w:rsid w:val="006C1956"/>
    <w:rsid w:val="006C65A3"/>
    <w:rsid w:val="006C66DD"/>
    <w:rsid w:val="006D0EE5"/>
    <w:rsid w:val="006D66A1"/>
    <w:rsid w:val="006D69F1"/>
    <w:rsid w:val="006E1E5F"/>
    <w:rsid w:val="006E1EC5"/>
    <w:rsid w:val="006E24BF"/>
    <w:rsid w:val="006E31A0"/>
    <w:rsid w:val="006E4F56"/>
    <w:rsid w:val="006E59A4"/>
    <w:rsid w:val="006E6594"/>
    <w:rsid w:val="006F0842"/>
    <w:rsid w:val="006F1670"/>
    <w:rsid w:val="006F42B7"/>
    <w:rsid w:val="006F680F"/>
    <w:rsid w:val="007056D2"/>
    <w:rsid w:val="00707108"/>
    <w:rsid w:val="00707DE9"/>
    <w:rsid w:val="00715692"/>
    <w:rsid w:val="00720C51"/>
    <w:rsid w:val="00722CC5"/>
    <w:rsid w:val="00723BCD"/>
    <w:rsid w:val="00727767"/>
    <w:rsid w:val="0072788C"/>
    <w:rsid w:val="0073176E"/>
    <w:rsid w:val="00731B6B"/>
    <w:rsid w:val="00735F46"/>
    <w:rsid w:val="007369A3"/>
    <w:rsid w:val="00741966"/>
    <w:rsid w:val="00742529"/>
    <w:rsid w:val="00743131"/>
    <w:rsid w:val="007449DA"/>
    <w:rsid w:val="00745394"/>
    <w:rsid w:val="00750893"/>
    <w:rsid w:val="007513E6"/>
    <w:rsid w:val="00752324"/>
    <w:rsid w:val="0075288D"/>
    <w:rsid w:val="00755065"/>
    <w:rsid w:val="00756324"/>
    <w:rsid w:val="00756950"/>
    <w:rsid w:val="00760DFD"/>
    <w:rsid w:val="0076373E"/>
    <w:rsid w:val="00763BFF"/>
    <w:rsid w:val="0076421B"/>
    <w:rsid w:val="00766944"/>
    <w:rsid w:val="007672D1"/>
    <w:rsid w:val="00767454"/>
    <w:rsid w:val="007707B1"/>
    <w:rsid w:val="00774214"/>
    <w:rsid w:val="007823F6"/>
    <w:rsid w:val="00783B84"/>
    <w:rsid w:val="00784713"/>
    <w:rsid w:val="00785969"/>
    <w:rsid w:val="007921E3"/>
    <w:rsid w:val="007967C8"/>
    <w:rsid w:val="007A01DD"/>
    <w:rsid w:val="007A1487"/>
    <w:rsid w:val="007A2A24"/>
    <w:rsid w:val="007A38D2"/>
    <w:rsid w:val="007A448F"/>
    <w:rsid w:val="007B1B39"/>
    <w:rsid w:val="007B2061"/>
    <w:rsid w:val="007B2770"/>
    <w:rsid w:val="007B28D3"/>
    <w:rsid w:val="007B4ADA"/>
    <w:rsid w:val="007B66E4"/>
    <w:rsid w:val="007B6E79"/>
    <w:rsid w:val="007B6F40"/>
    <w:rsid w:val="007C0D6C"/>
    <w:rsid w:val="007C36CA"/>
    <w:rsid w:val="007C5665"/>
    <w:rsid w:val="007C7F2C"/>
    <w:rsid w:val="007D02E6"/>
    <w:rsid w:val="007D3135"/>
    <w:rsid w:val="007D353D"/>
    <w:rsid w:val="007D47F4"/>
    <w:rsid w:val="007D51E0"/>
    <w:rsid w:val="007D5B5E"/>
    <w:rsid w:val="007D77E1"/>
    <w:rsid w:val="007E554A"/>
    <w:rsid w:val="007E6A86"/>
    <w:rsid w:val="007E70BE"/>
    <w:rsid w:val="007F0677"/>
    <w:rsid w:val="007F22F3"/>
    <w:rsid w:val="007F2D68"/>
    <w:rsid w:val="007F4474"/>
    <w:rsid w:val="007F4D4D"/>
    <w:rsid w:val="007F5507"/>
    <w:rsid w:val="007F5672"/>
    <w:rsid w:val="007F74E6"/>
    <w:rsid w:val="00802710"/>
    <w:rsid w:val="00803C7B"/>
    <w:rsid w:val="0081014A"/>
    <w:rsid w:val="00810C26"/>
    <w:rsid w:val="00812E34"/>
    <w:rsid w:val="00813B4E"/>
    <w:rsid w:val="00813E26"/>
    <w:rsid w:val="00813F99"/>
    <w:rsid w:val="00816CA9"/>
    <w:rsid w:val="00820892"/>
    <w:rsid w:val="0082177B"/>
    <w:rsid w:val="0082215F"/>
    <w:rsid w:val="0082424E"/>
    <w:rsid w:val="008252CC"/>
    <w:rsid w:val="00826A93"/>
    <w:rsid w:val="00834229"/>
    <w:rsid w:val="008344DC"/>
    <w:rsid w:val="00834DDD"/>
    <w:rsid w:val="008353AF"/>
    <w:rsid w:val="00835F34"/>
    <w:rsid w:val="008361D8"/>
    <w:rsid w:val="008363D0"/>
    <w:rsid w:val="008412A3"/>
    <w:rsid w:val="00845494"/>
    <w:rsid w:val="0084618C"/>
    <w:rsid w:val="00847B61"/>
    <w:rsid w:val="008512EB"/>
    <w:rsid w:val="0085167E"/>
    <w:rsid w:val="00853F50"/>
    <w:rsid w:val="00854598"/>
    <w:rsid w:val="0085774A"/>
    <w:rsid w:val="008601F6"/>
    <w:rsid w:val="00860F70"/>
    <w:rsid w:val="0086255F"/>
    <w:rsid w:val="00863AA2"/>
    <w:rsid w:val="00863E53"/>
    <w:rsid w:val="00870CBD"/>
    <w:rsid w:val="008712A1"/>
    <w:rsid w:val="00871339"/>
    <w:rsid w:val="00875182"/>
    <w:rsid w:val="008801F8"/>
    <w:rsid w:val="00880480"/>
    <w:rsid w:val="00880E3C"/>
    <w:rsid w:val="008810FB"/>
    <w:rsid w:val="008820DE"/>
    <w:rsid w:val="00884A08"/>
    <w:rsid w:val="00884A3E"/>
    <w:rsid w:val="00885702"/>
    <w:rsid w:val="00886C1F"/>
    <w:rsid w:val="0088735E"/>
    <w:rsid w:val="00892E42"/>
    <w:rsid w:val="00895385"/>
    <w:rsid w:val="008A358F"/>
    <w:rsid w:val="008A54EC"/>
    <w:rsid w:val="008A67CD"/>
    <w:rsid w:val="008A77AB"/>
    <w:rsid w:val="008A7AB4"/>
    <w:rsid w:val="008B183B"/>
    <w:rsid w:val="008B1B77"/>
    <w:rsid w:val="008B31A0"/>
    <w:rsid w:val="008B3758"/>
    <w:rsid w:val="008B6184"/>
    <w:rsid w:val="008B63B1"/>
    <w:rsid w:val="008C431C"/>
    <w:rsid w:val="008C6A04"/>
    <w:rsid w:val="008C755A"/>
    <w:rsid w:val="008D00AD"/>
    <w:rsid w:val="008D029F"/>
    <w:rsid w:val="008D3FBB"/>
    <w:rsid w:val="008D429C"/>
    <w:rsid w:val="008D4846"/>
    <w:rsid w:val="008D58DC"/>
    <w:rsid w:val="008D7AB5"/>
    <w:rsid w:val="008D7F68"/>
    <w:rsid w:val="008E03E4"/>
    <w:rsid w:val="008E048B"/>
    <w:rsid w:val="008E2D06"/>
    <w:rsid w:val="008E6337"/>
    <w:rsid w:val="008E7B15"/>
    <w:rsid w:val="008F1D75"/>
    <w:rsid w:val="008F4871"/>
    <w:rsid w:val="008F7053"/>
    <w:rsid w:val="008F79CB"/>
    <w:rsid w:val="00902C5B"/>
    <w:rsid w:val="00903D3D"/>
    <w:rsid w:val="00905E80"/>
    <w:rsid w:val="00906B62"/>
    <w:rsid w:val="00907974"/>
    <w:rsid w:val="009100C1"/>
    <w:rsid w:val="00911F65"/>
    <w:rsid w:val="00914CD5"/>
    <w:rsid w:val="009167DA"/>
    <w:rsid w:val="009202B4"/>
    <w:rsid w:val="00920EF9"/>
    <w:rsid w:val="009232F0"/>
    <w:rsid w:val="00923634"/>
    <w:rsid w:val="00923DCC"/>
    <w:rsid w:val="00925059"/>
    <w:rsid w:val="009252D7"/>
    <w:rsid w:val="0092630F"/>
    <w:rsid w:val="00927562"/>
    <w:rsid w:val="00931FD6"/>
    <w:rsid w:val="0093320B"/>
    <w:rsid w:val="00935067"/>
    <w:rsid w:val="00935311"/>
    <w:rsid w:val="00936067"/>
    <w:rsid w:val="009364D5"/>
    <w:rsid w:val="00940126"/>
    <w:rsid w:val="00940AAA"/>
    <w:rsid w:val="0094232C"/>
    <w:rsid w:val="0094248A"/>
    <w:rsid w:val="00947D5B"/>
    <w:rsid w:val="00950C9A"/>
    <w:rsid w:val="00951CAC"/>
    <w:rsid w:val="00952CEC"/>
    <w:rsid w:val="00953065"/>
    <w:rsid w:val="0095409C"/>
    <w:rsid w:val="009556D6"/>
    <w:rsid w:val="00955CA6"/>
    <w:rsid w:val="0095760A"/>
    <w:rsid w:val="00960228"/>
    <w:rsid w:val="00960AB4"/>
    <w:rsid w:val="00962C6E"/>
    <w:rsid w:val="00964CAD"/>
    <w:rsid w:val="00966C27"/>
    <w:rsid w:val="00966E25"/>
    <w:rsid w:val="00970129"/>
    <w:rsid w:val="00971381"/>
    <w:rsid w:val="00972E53"/>
    <w:rsid w:val="009750A4"/>
    <w:rsid w:val="00975286"/>
    <w:rsid w:val="00976D10"/>
    <w:rsid w:val="009826B2"/>
    <w:rsid w:val="00983779"/>
    <w:rsid w:val="00987478"/>
    <w:rsid w:val="0099505B"/>
    <w:rsid w:val="00996173"/>
    <w:rsid w:val="009A1915"/>
    <w:rsid w:val="009A2F07"/>
    <w:rsid w:val="009A66C3"/>
    <w:rsid w:val="009B165E"/>
    <w:rsid w:val="009C045B"/>
    <w:rsid w:val="009C20A5"/>
    <w:rsid w:val="009C7F28"/>
    <w:rsid w:val="009D054F"/>
    <w:rsid w:val="009D230E"/>
    <w:rsid w:val="009D5C53"/>
    <w:rsid w:val="009D6B51"/>
    <w:rsid w:val="009E456B"/>
    <w:rsid w:val="009E5463"/>
    <w:rsid w:val="009F0961"/>
    <w:rsid w:val="009F345E"/>
    <w:rsid w:val="009F49CB"/>
    <w:rsid w:val="009F4B70"/>
    <w:rsid w:val="009F5E2D"/>
    <w:rsid w:val="009F6EBE"/>
    <w:rsid w:val="009F78E0"/>
    <w:rsid w:val="00A004A1"/>
    <w:rsid w:val="00A00B32"/>
    <w:rsid w:val="00A01C91"/>
    <w:rsid w:val="00A03410"/>
    <w:rsid w:val="00A03682"/>
    <w:rsid w:val="00A06655"/>
    <w:rsid w:val="00A13AB9"/>
    <w:rsid w:val="00A14D24"/>
    <w:rsid w:val="00A150BF"/>
    <w:rsid w:val="00A1551E"/>
    <w:rsid w:val="00A1709E"/>
    <w:rsid w:val="00A2075F"/>
    <w:rsid w:val="00A21F7C"/>
    <w:rsid w:val="00A232A7"/>
    <w:rsid w:val="00A23EF0"/>
    <w:rsid w:val="00A26853"/>
    <w:rsid w:val="00A27432"/>
    <w:rsid w:val="00A3017E"/>
    <w:rsid w:val="00A34E86"/>
    <w:rsid w:val="00A355C4"/>
    <w:rsid w:val="00A3580F"/>
    <w:rsid w:val="00A36062"/>
    <w:rsid w:val="00A40BC6"/>
    <w:rsid w:val="00A426D1"/>
    <w:rsid w:val="00A43070"/>
    <w:rsid w:val="00A43BA3"/>
    <w:rsid w:val="00A4539A"/>
    <w:rsid w:val="00A4678C"/>
    <w:rsid w:val="00A575BC"/>
    <w:rsid w:val="00A62028"/>
    <w:rsid w:val="00A6253C"/>
    <w:rsid w:val="00A65CE7"/>
    <w:rsid w:val="00A66EE1"/>
    <w:rsid w:val="00A7049D"/>
    <w:rsid w:val="00A72466"/>
    <w:rsid w:val="00A73BBD"/>
    <w:rsid w:val="00A740BC"/>
    <w:rsid w:val="00A825F4"/>
    <w:rsid w:val="00A82856"/>
    <w:rsid w:val="00A83C8D"/>
    <w:rsid w:val="00A86C7E"/>
    <w:rsid w:val="00A93869"/>
    <w:rsid w:val="00A9405B"/>
    <w:rsid w:val="00A95BB3"/>
    <w:rsid w:val="00AA6D9A"/>
    <w:rsid w:val="00AB5AE9"/>
    <w:rsid w:val="00AC3E79"/>
    <w:rsid w:val="00AC5BCC"/>
    <w:rsid w:val="00AD5877"/>
    <w:rsid w:val="00AE1345"/>
    <w:rsid w:val="00AE29C8"/>
    <w:rsid w:val="00AE3414"/>
    <w:rsid w:val="00AE4192"/>
    <w:rsid w:val="00AE5609"/>
    <w:rsid w:val="00AE67BC"/>
    <w:rsid w:val="00AE7845"/>
    <w:rsid w:val="00AF0C7F"/>
    <w:rsid w:val="00AF2F72"/>
    <w:rsid w:val="00AF456D"/>
    <w:rsid w:val="00AF7C8D"/>
    <w:rsid w:val="00B01B16"/>
    <w:rsid w:val="00B02B32"/>
    <w:rsid w:val="00B03846"/>
    <w:rsid w:val="00B03857"/>
    <w:rsid w:val="00B04C86"/>
    <w:rsid w:val="00B06AFC"/>
    <w:rsid w:val="00B06E86"/>
    <w:rsid w:val="00B0772D"/>
    <w:rsid w:val="00B1062F"/>
    <w:rsid w:val="00B1193E"/>
    <w:rsid w:val="00B22762"/>
    <w:rsid w:val="00B22C5A"/>
    <w:rsid w:val="00B22D96"/>
    <w:rsid w:val="00B2619A"/>
    <w:rsid w:val="00B35023"/>
    <w:rsid w:val="00B35890"/>
    <w:rsid w:val="00B407CA"/>
    <w:rsid w:val="00B40DD9"/>
    <w:rsid w:val="00B40FF7"/>
    <w:rsid w:val="00B425EA"/>
    <w:rsid w:val="00B44129"/>
    <w:rsid w:val="00B4466D"/>
    <w:rsid w:val="00B45629"/>
    <w:rsid w:val="00B51534"/>
    <w:rsid w:val="00B52B2D"/>
    <w:rsid w:val="00B55061"/>
    <w:rsid w:val="00B62C41"/>
    <w:rsid w:val="00B63301"/>
    <w:rsid w:val="00B63838"/>
    <w:rsid w:val="00B64BBF"/>
    <w:rsid w:val="00B67633"/>
    <w:rsid w:val="00B716F7"/>
    <w:rsid w:val="00B74866"/>
    <w:rsid w:val="00B76004"/>
    <w:rsid w:val="00B77144"/>
    <w:rsid w:val="00B80843"/>
    <w:rsid w:val="00B8104E"/>
    <w:rsid w:val="00B970E8"/>
    <w:rsid w:val="00BA0FCE"/>
    <w:rsid w:val="00BA25EF"/>
    <w:rsid w:val="00BA3411"/>
    <w:rsid w:val="00BA38EF"/>
    <w:rsid w:val="00BA4F06"/>
    <w:rsid w:val="00BA4F48"/>
    <w:rsid w:val="00BA6FCE"/>
    <w:rsid w:val="00BB10DB"/>
    <w:rsid w:val="00BB5532"/>
    <w:rsid w:val="00BB558F"/>
    <w:rsid w:val="00BB73DD"/>
    <w:rsid w:val="00BC2F41"/>
    <w:rsid w:val="00BC3F20"/>
    <w:rsid w:val="00BC5DBD"/>
    <w:rsid w:val="00BC7FF1"/>
    <w:rsid w:val="00BD0383"/>
    <w:rsid w:val="00BD1F7C"/>
    <w:rsid w:val="00BD3917"/>
    <w:rsid w:val="00BD4014"/>
    <w:rsid w:val="00BD460D"/>
    <w:rsid w:val="00BD611B"/>
    <w:rsid w:val="00BE1C9A"/>
    <w:rsid w:val="00BE2594"/>
    <w:rsid w:val="00BE2A79"/>
    <w:rsid w:val="00BE2CA0"/>
    <w:rsid w:val="00BF0173"/>
    <w:rsid w:val="00BF25A0"/>
    <w:rsid w:val="00BF5FEF"/>
    <w:rsid w:val="00C01882"/>
    <w:rsid w:val="00C025E3"/>
    <w:rsid w:val="00C02F9D"/>
    <w:rsid w:val="00C062DA"/>
    <w:rsid w:val="00C065AE"/>
    <w:rsid w:val="00C06B0D"/>
    <w:rsid w:val="00C11626"/>
    <w:rsid w:val="00C12CE6"/>
    <w:rsid w:val="00C13FDF"/>
    <w:rsid w:val="00C140E3"/>
    <w:rsid w:val="00C14502"/>
    <w:rsid w:val="00C15127"/>
    <w:rsid w:val="00C1553B"/>
    <w:rsid w:val="00C1591C"/>
    <w:rsid w:val="00C2080A"/>
    <w:rsid w:val="00C21069"/>
    <w:rsid w:val="00C2167E"/>
    <w:rsid w:val="00C23550"/>
    <w:rsid w:val="00C240C8"/>
    <w:rsid w:val="00C27519"/>
    <w:rsid w:val="00C33F0B"/>
    <w:rsid w:val="00C3616C"/>
    <w:rsid w:val="00C36EFC"/>
    <w:rsid w:val="00C40BF3"/>
    <w:rsid w:val="00C41B15"/>
    <w:rsid w:val="00C41BD3"/>
    <w:rsid w:val="00C4563E"/>
    <w:rsid w:val="00C45E39"/>
    <w:rsid w:val="00C46EAB"/>
    <w:rsid w:val="00C6006F"/>
    <w:rsid w:val="00C62220"/>
    <w:rsid w:val="00C70627"/>
    <w:rsid w:val="00C71878"/>
    <w:rsid w:val="00C7190B"/>
    <w:rsid w:val="00C7281D"/>
    <w:rsid w:val="00C728A4"/>
    <w:rsid w:val="00C73D81"/>
    <w:rsid w:val="00C746B3"/>
    <w:rsid w:val="00C7635A"/>
    <w:rsid w:val="00C77098"/>
    <w:rsid w:val="00C81FD6"/>
    <w:rsid w:val="00C87AFE"/>
    <w:rsid w:val="00C87D76"/>
    <w:rsid w:val="00C906BD"/>
    <w:rsid w:val="00C90B68"/>
    <w:rsid w:val="00C90EB1"/>
    <w:rsid w:val="00C924DD"/>
    <w:rsid w:val="00C9271F"/>
    <w:rsid w:val="00C93D5A"/>
    <w:rsid w:val="00C9447A"/>
    <w:rsid w:val="00C96D5D"/>
    <w:rsid w:val="00CA0656"/>
    <w:rsid w:val="00CA153E"/>
    <w:rsid w:val="00CA173D"/>
    <w:rsid w:val="00CA1EB2"/>
    <w:rsid w:val="00CA354A"/>
    <w:rsid w:val="00CA41BB"/>
    <w:rsid w:val="00CA6523"/>
    <w:rsid w:val="00CA77CF"/>
    <w:rsid w:val="00CB13DB"/>
    <w:rsid w:val="00CB1709"/>
    <w:rsid w:val="00CB4050"/>
    <w:rsid w:val="00CB51D7"/>
    <w:rsid w:val="00CB64D7"/>
    <w:rsid w:val="00CB6724"/>
    <w:rsid w:val="00CB67C6"/>
    <w:rsid w:val="00CB6E7D"/>
    <w:rsid w:val="00CB7DF2"/>
    <w:rsid w:val="00CC09A0"/>
    <w:rsid w:val="00CC0B2A"/>
    <w:rsid w:val="00CC125A"/>
    <w:rsid w:val="00CC13F5"/>
    <w:rsid w:val="00CC1C27"/>
    <w:rsid w:val="00CC395D"/>
    <w:rsid w:val="00CC5332"/>
    <w:rsid w:val="00CC5BA8"/>
    <w:rsid w:val="00CC6497"/>
    <w:rsid w:val="00CD0981"/>
    <w:rsid w:val="00CD1A42"/>
    <w:rsid w:val="00CD2BD5"/>
    <w:rsid w:val="00CD4730"/>
    <w:rsid w:val="00CD5824"/>
    <w:rsid w:val="00CE3C54"/>
    <w:rsid w:val="00CE4716"/>
    <w:rsid w:val="00CE5932"/>
    <w:rsid w:val="00CE59E6"/>
    <w:rsid w:val="00CE5E7F"/>
    <w:rsid w:val="00CE7B85"/>
    <w:rsid w:val="00CF0EEA"/>
    <w:rsid w:val="00CF10BA"/>
    <w:rsid w:val="00CF2186"/>
    <w:rsid w:val="00CF21A7"/>
    <w:rsid w:val="00CF4727"/>
    <w:rsid w:val="00CF4DC6"/>
    <w:rsid w:val="00CF540F"/>
    <w:rsid w:val="00CF5D49"/>
    <w:rsid w:val="00D00024"/>
    <w:rsid w:val="00D007F5"/>
    <w:rsid w:val="00D01342"/>
    <w:rsid w:val="00D0183A"/>
    <w:rsid w:val="00D042DA"/>
    <w:rsid w:val="00D10313"/>
    <w:rsid w:val="00D15092"/>
    <w:rsid w:val="00D16023"/>
    <w:rsid w:val="00D165A7"/>
    <w:rsid w:val="00D200CA"/>
    <w:rsid w:val="00D23863"/>
    <w:rsid w:val="00D24ECF"/>
    <w:rsid w:val="00D3234B"/>
    <w:rsid w:val="00D33288"/>
    <w:rsid w:val="00D349D4"/>
    <w:rsid w:val="00D362BB"/>
    <w:rsid w:val="00D3783F"/>
    <w:rsid w:val="00D404B6"/>
    <w:rsid w:val="00D412AE"/>
    <w:rsid w:val="00D42E44"/>
    <w:rsid w:val="00D433C6"/>
    <w:rsid w:val="00D44103"/>
    <w:rsid w:val="00D4474F"/>
    <w:rsid w:val="00D45A2E"/>
    <w:rsid w:val="00D4684B"/>
    <w:rsid w:val="00D50357"/>
    <w:rsid w:val="00D52159"/>
    <w:rsid w:val="00D522BE"/>
    <w:rsid w:val="00D523D8"/>
    <w:rsid w:val="00D532A2"/>
    <w:rsid w:val="00D55F59"/>
    <w:rsid w:val="00D60D05"/>
    <w:rsid w:val="00D6314F"/>
    <w:rsid w:val="00D6333B"/>
    <w:rsid w:val="00D66344"/>
    <w:rsid w:val="00D67317"/>
    <w:rsid w:val="00D67B1F"/>
    <w:rsid w:val="00D729EC"/>
    <w:rsid w:val="00D7500D"/>
    <w:rsid w:val="00D75338"/>
    <w:rsid w:val="00D87490"/>
    <w:rsid w:val="00D91E27"/>
    <w:rsid w:val="00D95DB8"/>
    <w:rsid w:val="00D9667B"/>
    <w:rsid w:val="00DA2F31"/>
    <w:rsid w:val="00DA479A"/>
    <w:rsid w:val="00DA7B6D"/>
    <w:rsid w:val="00DB083D"/>
    <w:rsid w:val="00DB3ED6"/>
    <w:rsid w:val="00DB5CF4"/>
    <w:rsid w:val="00DB7C57"/>
    <w:rsid w:val="00DC30EF"/>
    <w:rsid w:val="00DC5D01"/>
    <w:rsid w:val="00DD0C73"/>
    <w:rsid w:val="00DD15D8"/>
    <w:rsid w:val="00DD4CF2"/>
    <w:rsid w:val="00DD73CB"/>
    <w:rsid w:val="00DE0898"/>
    <w:rsid w:val="00DE0989"/>
    <w:rsid w:val="00DE15ED"/>
    <w:rsid w:val="00DE1B8C"/>
    <w:rsid w:val="00DE4E95"/>
    <w:rsid w:val="00DE5465"/>
    <w:rsid w:val="00DE558D"/>
    <w:rsid w:val="00DE7E3A"/>
    <w:rsid w:val="00DF0BB1"/>
    <w:rsid w:val="00DF2A65"/>
    <w:rsid w:val="00DF3432"/>
    <w:rsid w:val="00DF3AFC"/>
    <w:rsid w:val="00DF49FE"/>
    <w:rsid w:val="00DF78B1"/>
    <w:rsid w:val="00E026CB"/>
    <w:rsid w:val="00E039C4"/>
    <w:rsid w:val="00E046A1"/>
    <w:rsid w:val="00E1009A"/>
    <w:rsid w:val="00E10D91"/>
    <w:rsid w:val="00E11E40"/>
    <w:rsid w:val="00E1376B"/>
    <w:rsid w:val="00E16826"/>
    <w:rsid w:val="00E16CDE"/>
    <w:rsid w:val="00E204D4"/>
    <w:rsid w:val="00E2391C"/>
    <w:rsid w:val="00E27AB1"/>
    <w:rsid w:val="00E3088E"/>
    <w:rsid w:val="00E32925"/>
    <w:rsid w:val="00E37357"/>
    <w:rsid w:val="00E41248"/>
    <w:rsid w:val="00E42CE5"/>
    <w:rsid w:val="00E43546"/>
    <w:rsid w:val="00E43DC4"/>
    <w:rsid w:val="00E44CD5"/>
    <w:rsid w:val="00E51686"/>
    <w:rsid w:val="00E523AD"/>
    <w:rsid w:val="00E52AA9"/>
    <w:rsid w:val="00E52DE9"/>
    <w:rsid w:val="00E57594"/>
    <w:rsid w:val="00E57B07"/>
    <w:rsid w:val="00E57CE4"/>
    <w:rsid w:val="00E61516"/>
    <w:rsid w:val="00E6464B"/>
    <w:rsid w:val="00E665AD"/>
    <w:rsid w:val="00E67C32"/>
    <w:rsid w:val="00E71148"/>
    <w:rsid w:val="00E71EBF"/>
    <w:rsid w:val="00E73032"/>
    <w:rsid w:val="00E7566F"/>
    <w:rsid w:val="00E769AA"/>
    <w:rsid w:val="00E82EC9"/>
    <w:rsid w:val="00E85564"/>
    <w:rsid w:val="00E87EFE"/>
    <w:rsid w:val="00E900A2"/>
    <w:rsid w:val="00E9116A"/>
    <w:rsid w:val="00E915E4"/>
    <w:rsid w:val="00E945D0"/>
    <w:rsid w:val="00E94824"/>
    <w:rsid w:val="00E97BFC"/>
    <w:rsid w:val="00EA1462"/>
    <w:rsid w:val="00EA2613"/>
    <w:rsid w:val="00EA65BE"/>
    <w:rsid w:val="00EB006D"/>
    <w:rsid w:val="00EB0833"/>
    <w:rsid w:val="00EB3909"/>
    <w:rsid w:val="00EB41C6"/>
    <w:rsid w:val="00EB42FB"/>
    <w:rsid w:val="00EB4468"/>
    <w:rsid w:val="00EC0F50"/>
    <w:rsid w:val="00EC16C0"/>
    <w:rsid w:val="00EC2DA1"/>
    <w:rsid w:val="00EC486F"/>
    <w:rsid w:val="00ED1679"/>
    <w:rsid w:val="00ED3BCF"/>
    <w:rsid w:val="00ED4FCC"/>
    <w:rsid w:val="00ED579C"/>
    <w:rsid w:val="00ED63F0"/>
    <w:rsid w:val="00EE066E"/>
    <w:rsid w:val="00EE1984"/>
    <w:rsid w:val="00EE27AD"/>
    <w:rsid w:val="00EE4EBC"/>
    <w:rsid w:val="00EE7094"/>
    <w:rsid w:val="00EE7873"/>
    <w:rsid w:val="00EF100F"/>
    <w:rsid w:val="00EF308C"/>
    <w:rsid w:val="00EF3EFD"/>
    <w:rsid w:val="00EF7964"/>
    <w:rsid w:val="00F0060B"/>
    <w:rsid w:val="00F01413"/>
    <w:rsid w:val="00F0226F"/>
    <w:rsid w:val="00F02EC4"/>
    <w:rsid w:val="00F064D4"/>
    <w:rsid w:val="00F074BE"/>
    <w:rsid w:val="00F10A2A"/>
    <w:rsid w:val="00F11106"/>
    <w:rsid w:val="00F13AB7"/>
    <w:rsid w:val="00F14250"/>
    <w:rsid w:val="00F1749B"/>
    <w:rsid w:val="00F20465"/>
    <w:rsid w:val="00F21C0E"/>
    <w:rsid w:val="00F258A0"/>
    <w:rsid w:val="00F268AE"/>
    <w:rsid w:val="00F2713F"/>
    <w:rsid w:val="00F30A3A"/>
    <w:rsid w:val="00F31846"/>
    <w:rsid w:val="00F34E2E"/>
    <w:rsid w:val="00F35CC0"/>
    <w:rsid w:val="00F43725"/>
    <w:rsid w:val="00F43DFB"/>
    <w:rsid w:val="00F44ECC"/>
    <w:rsid w:val="00F455CE"/>
    <w:rsid w:val="00F46BB2"/>
    <w:rsid w:val="00F46D81"/>
    <w:rsid w:val="00F51F49"/>
    <w:rsid w:val="00F6380E"/>
    <w:rsid w:val="00F63AF1"/>
    <w:rsid w:val="00F711F1"/>
    <w:rsid w:val="00F71444"/>
    <w:rsid w:val="00F72224"/>
    <w:rsid w:val="00F73369"/>
    <w:rsid w:val="00F745C6"/>
    <w:rsid w:val="00F80CFA"/>
    <w:rsid w:val="00F82034"/>
    <w:rsid w:val="00F85C0E"/>
    <w:rsid w:val="00F8632D"/>
    <w:rsid w:val="00F87212"/>
    <w:rsid w:val="00F90FE4"/>
    <w:rsid w:val="00F920EE"/>
    <w:rsid w:val="00F95509"/>
    <w:rsid w:val="00F96216"/>
    <w:rsid w:val="00F9690F"/>
    <w:rsid w:val="00F97F29"/>
    <w:rsid w:val="00FA216E"/>
    <w:rsid w:val="00FA5A89"/>
    <w:rsid w:val="00FA73EF"/>
    <w:rsid w:val="00FB066C"/>
    <w:rsid w:val="00FB7649"/>
    <w:rsid w:val="00FC1B93"/>
    <w:rsid w:val="00FC1F7B"/>
    <w:rsid w:val="00FC2362"/>
    <w:rsid w:val="00FC2729"/>
    <w:rsid w:val="00FC4AC3"/>
    <w:rsid w:val="00FC64BC"/>
    <w:rsid w:val="00FC70A2"/>
    <w:rsid w:val="00FD05DE"/>
    <w:rsid w:val="00FD10F1"/>
    <w:rsid w:val="00FD1FA2"/>
    <w:rsid w:val="00FD24A6"/>
    <w:rsid w:val="00FD5A3F"/>
    <w:rsid w:val="00FE05EB"/>
    <w:rsid w:val="00FE1838"/>
    <w:rsid w:val="00FE1F2D"/>
    <w:rsid w:val="00FE4FFB"/>
    <w:rsid w:val="00FE5F1B"/>
    <w:rsid w:val="00FE7A8D"/>
    <w:rsid w:val="00FF07AD"/>
    <w:rsid w:val="00FF1646"/>
    <w:rsid w:val="00FF18A2"/>
    <w:rsid w:val="00FF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369"/>
    </o:shapedefaults>
    <o:shapelayout v:ext="edit">
      <o:idmap v:ext="edit" data="1"/>
    </o:shapelayout>
  </w:shapeDefaults>
  <w:decimalSymbol w:val=","/>
  <w:listSeparator w:val=","/>
  <w14:docId w14:val="1C8F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724"/>
    <w:pPr>
      <w:spacing w:after="240"/>
    </w:pPr>
    <w:rPr>
      <w:rFonts w:ascii="Arial" w:hAnsi="Arial"/>
      <w:lang w:eastAsia="en-US"/>
    </w:rPr>
  </w:style>
  <w:style w:type="paragraph" w:styleId="Heading1">
    <w:name w:val="heading 1"/>
    <w:basedOn w:val="Normal"/>
    <w:next w:val="Paragraph"/>
    <w:link w:val="Heading1Char"/>
    <w:autoRedefine/>
    <w:qFormat/>
    <w:rsid w:val="000174BF"/>
    <w:pPr>
      <w:keepNext/>
      <w:tabs>
        <w:tab w:val="left" w:pos="1080"/>
      </w:tabs>
      <w:spacing w:before="480" w:after="60"/>
      <w:ind w:right="-176"/>
      <w:outlineLvl w:val="0"/>
    </w:pPr>
    <w:rPr>
      <w:rFonts w:cs="Arial"/>
      <w:b/>
      <w:bCs/>
      <w:caps/>
      <w:color w:val="336699"/>
      <w:sz w:val="28"/>
      <w:szCs w:val="28"/>
    </w:rPr>
  </w:style>
  <w:style w:type="paragraph" w:styleId="Heading2">
    <w:name w:val="heading 2"/>
    <w:basedOn w:val="Normal"/>
    <w:next w:val="Paragraph"/>
    <w:link w:val="Heading2Char"/>
    <w:autoRedefine/>
    <w:qFormat/>
    <w:rsid w:val="009A1915"/>
    <w:pPr>
      <w:keepNext/>
      <w:spacing w:before="360"/>
      <w:outlineLvl w:val="1"/>
    </w:pPr>
    <w:rPr>
      <w:rFonts w:cs="Arial"/>
      <w:b/>
      <w:bCs/>
      <w:i/>
      <w:iCs/>
      <w:color w:val="336699"/>
      <w:sz w:val="24"/>
      <w:szCs w:val="28"/>
    </w:rPr>
  </w:style>
  <w:style w:type="paragraph" w:styleId="Heading3">
    <w:name w:val="heading 3"/>
    <w:basedOn w:val="Normal"/>
    <w:next w:val="Paragraph"/>
    <w:autoRedefine/>
    <w:qFormat/>
    <w:rsid w:val="00393C9A"/>
    <w:pPr>
      <w:keepNext/>
      <w:numPr>
        <w:ilvl w:val="2"/>
        <w:numId w:val="2"/>
      </w:numPr>
      <w:spacing w:before="240" w:after="60"/>
      <w:outlineLvl w:val="2"/>
    </w:pPr>
    <w:rPr>
      <w:rFonts w:cs="Arial"/>
      <w:b/>
      <w:bCs/>
      <w:color w:val="0000FF"/>
    </w:rPr>
  </w:style>
  <w:style w:type="paragraph" w:styleId="Heading4">
    <w:name w:val="heading 4"/>
    <w:basedOn w:val="Normal"/>
    <w:next w:val="Paragraph"/>
    <w:qFormat/>
    <w:rsid w:val="00953065"/>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Paragraph"/>
    <w:qFormat/>
    <w:rsid w:val="00953065"/>
    <w:pPr>
      <w:numPr>
        <w:ilvl w:val="4"/>
        <w:numId w:val="2"/>
      </w:numPr>
      <w:spacing w:before="240" w:after="60"/>
      <w:outlineLvl w:val="4"/>
    </w:pPr>
    <w:rPr>
      <w:b/>
      <w:bCs/>
      <w:i/>
      <w:iCs/>
      <w:sz w:val="26"/>
      <w:szCs w:val="26"/>
    </w:rPr>
  </w:style>
  <w:style w:type="paragraph" w:styleId="Heading6">
    <w:name w:val="heading 6"/>
    <w:basedOn w:val="Normal"/>
    <w:next w:val="Paragraph"/>
    <w:qFormat/>
    <w:rsid w:val="00953065"/>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Paragraph"/>
    <w:qFormat/>
    <w:rsid w:val="00953065"/>
    <w:pPr>
      <w:numPr>
        <w:ilvl w:val="6"/>
        <w:numId w:val="2"/>
      </w:numPr>
      <w:spacing w:before="240" w:after="60"/>
      <w:outlineLvl w:val="6"/>
    </w:pPr>
    <w:rPr>
      <w:rFonts w:ascii="Times New Roman" w:hAnsi="Times New Roman"/>
      <w:sz w:val="24"/>
      <w:szCs w:val="24"/>
    </w:rPr>
  </w:style>
  <w:style w:type="paragraph" w:styleId="Heading8">
    <w:name w:val="heading 8"/>
    <w:basedOn w:val="Normal"/>
    <w:next w:val="Paragraph"/>
    <w:qFormat/>
    <w:rsid w:val="00953065"/>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Paragraph"/>
    <w:qFormat/>
    <w:rsid w:val="00953065"/>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
    <w:name w:val="Chapter head"/>
    <w:basedOn w:val="Normal"/>
    <w:rsid w:val="00B716F7"/>
    <w:pPr>
      <w:jc w:val="center"/>
    </w:pPr>
    <w:rPr>
      <w:b/>
      <w:sz w:val="32"/>
      <w:szCs w:val="32"/>
      <w:lang w:val="en-US"/>
    </w:rPr>
  </w:style>
  <w:style w:type="paragraph" w:styleId="Header">
    <w:name w:val="header"/>
    <w:basedOn w:val="Normal"/>
    <w:rsid w:val="00F73369"/>
    <w:pPr>
      <w:tabs>
        <w:tab w:val="center" w:pos="4153"/>
        <w:tab w:val="right" w:pos="8306"/>
      </w:tabs>
    </w:pPr>
  </w:style>
  <w:style w:type="paragraph" w:styleId="Footer">
    <w:name w:val="footer"/>
    <w:basedOn w:val="Normal"/>
    <w:rsid w:val="00F73369"/>
    <w:pPr>
      <w:tabs>
        <w:tab w:val="center" w:pos="4153"/>
        <w:tab w:val="right" w:pos="8306"/>
      </w:tabs>
    </w:pPr>
  </w:style>
  <w:style w:type="character" w:styleId="PageNumber">
    <w:name w:val="page number"/>
    <w:basedOn w:val="DefaultParagraphFont"/>
    <w:rsid w:val="00F73369"/>
  </w:style>
  <w:style w:type="paragraph" w:styleId="TOC1">
    <w:name w:val="toc 1"/>
    <w:basedOn w:val="Normal"/>
    <w:next w:val="Normal"/>
    <w:autoRedefine/>
    <w:semiHidden/>
    <w:rsid w:val="008A54EC"/>
    <w:pPr>
      <w:spacing w:before="120" w:after="120"/>
    </w:pPr>
    <w:rPr>
      <w:rFonts w:ascii="Times New Roman" w:hAnsi="Times New Roman"/>
      <w:b/>
      <w:bCs/>
      <w:caps/>
    </w:rPr>
  </w:style>
  <w:style w:type="paragraph" w:styleId="TOC2">
    <w:name w:val="toc 2"/>
    <w:basedOn w:val="Normal"/>
    <w:next w:val="Normal"/>
    <w:autoRedefine/>
    <w:semiHidden/>
    <w:rsid w:val="004C3A00"/>
    <w:pPr>
      <w:spacing w:after="0"/>
      <w:ind w:left="200"/>
    </w:pPr>
    <w:rPr>
      <w:rFonts w:ascii="Times New Roman" w:hAnsi="Times New Roman"/>
      <w:smallCaps/>
    </w:rPr>
  </w:style>
  <w:style w:type="paragraph" w:styleId="TOC3">
    <w:name w:val="toc 3"/>
    <w:basedOn w:val="Normal"/>
    <w:next w:val="Normal"/>
    <w:autoRedefine/>
    <w:semiHidden/>
    <w:rsid w:val="004C3A00"/>
    <w:pPr>
      <w:spacing w:after="0"/>
      <w:ind w:left="400"/>
    </w:pPr>
    <w:rPr>
      <w:rFonts w:ascii="Times New Roman" w:hAnsi="Times New Roman"/>
      <w:i/>
      <w:iCs/>
    </w:rPr>
  </w:style>
  <w:style w:type="character" w:styleId="Hyperlink">
    <w:name w:val="Hyperlink"/>
    <w:basedOn w:val="DefaultParagraphFont"/>
    <w:rsid w:val="00F73369"/>
    <w:rPr>
      <w:color w:val="0000FF"/>
      <w:u w:val="single"/>
    </w:rPr>
  </w:style>
  <w:style w:type="character" w:styleId="LineNumber">
    <w:name w:val="line number"/>
    <w:basedOn w:val="DefaultParagraphFont"/>
    <w:rsid w:val="009D6B51"/>
  </w:style>
  <w:style w:type="character" w:styleId="HTMLCode">
    <w:name w:val="HTML Code"/>
    <w:basedOn w:val="DefaultParagraphFont"/>
    <w:rsid w:val="00A93869"/>
    <w:rPr>
      <w:rFonts w:ascii="Courier New" w:eastAsia="Courier New" w:hAnsi="Courier New" w:cs="Courier New"/>
      <w:sz w:val="20"/>
      <w:szCs w:val="20"/>
    </w:rPr>
  </w:style>
  <w:style w:type="paragraph" w:styleId="Caption">
    <w:name w:val="caption"/>
    <w:basedOn w:val="Normal"/>
    <w:next w:val="Normal"/>
    <w:qFormat/>
    <w:rsid w:val="00A93869"/>
    <w:pPr>
      <w:keepLines/>
      <w:widowControl w:val="0"/>
      <w:numPr>
        <w:numId w:val="1"/>
      </w:numPr>
      <w:spacing w:before="40" w:after="120"/>
    </w:pPr>
    <w:rPr>
      <w:rFonts w:ascii="Times New Roman" w:hAnsi="Times New Roman"/>
      <w:b/>
      <w:lang w:val="en-US"/>
    </w:rPr>
  </w:style>
  <w:style w:type="paragraph" w:styleId="NormalWeb">
    <w:name w:val="Normal (Web)"/>
    <w:basedOn w:val="Normal"/>
    <w:rsid w:val="00A93869"/>
    <w:pPr>
      <w:spacing w:before="100" w:beforeAutospacing="1" w:after="100" w:afterAutospacing="1"/>
    </w:pPr>
    <w:rPr>
      <w:rFonts w:ascii="Times New Roman" w:hAnsi="Times New Roman" w:cs="Arial"/>
      <w:sz w:val="24"/>
      <w:szCs w:val="24"/>
      <w:lang w:val="en-US"/>
    </w:rPr>
  </w:style>
  <w:style w:type="paragraph" w:styleId="BodyText">
    <w:name w:val="Body Text"/>
    <w:basedOn w:val="Normal"/>
    <w:rsid w:val="00A93869"/>
    <w:pPr>
      <w:widowControl w:val="0"/>
      <w:spacing w:before="120" w:after="0"/>
    </w:pPr>
    <w:rPr>
      <w:rFonts w:ascii="Times New Roman" w:hAnsi="Times New Roman"/>
      <w:bCs/>
      <w:iCs/>
      <w:sz w:val="24"/>
      <w:lang w:eastAsia="ko-KR"/>
    </w:rPr>
  </w:style>
  <w:style w:type="paragraph" w:customStyle="1" w:styleId="Paragraph">
    <w:name w:val="Paragraph"/>
    <w:link w:val="ParagraphChar"/>
    <w:rsid w:val="00F63AF1"/>
    <w:pPr>
      <w:jc w:val="both"/>
    </w:pPr>
    <w:rPr>
      <w:rFonts w:ascii="Arial" w:hAnsi="Arial"/>
      <w:sz w:val="22"/>
      <w:lang w:eastAsia="en-US"/>
    </w:rPr>
  </w:style>
  <w:style w:type="paragraph" w:customStyle="1" w:styleId="Footerempty">
    <w:name w:val="Footerempty"/>
    <w:basedOn w:val="Footer"/>
    <w:rsid w:val="00A83C8D"/>
    <w:pPr>
      <w:tabs>
        <w:tab w:val="clear" w:pos="4153"/>
        <w:tab w:val="clear" w:pos="8306"/>
        <w:tab w:val="center" w:pos="4536"/>
        <w:tab w:val="right" w:pos="9072"/>
      </w:tabs>
      <w:spacing w:after="0"/>
    </w:pPr>
    <w:rPr>
      <w:color w:val="FFFFFF"/>
      <w:sz w:val="2"/>
    </w:rPr>
  </w:style>
  <w:style w:type="character" w:customStyle="1" w:styleId="Heading1Char">
    <w:name w:val="Heading 1 Char"/>
    <w:basedOn w:val="DefaultParagraphFont"/>
    <w:link w:val="Heading1"/>
    <w:rsid w:val="000174BF"/>
    <w:rPr>
      <w:rFonts w:ascii="Arial" w:hAnsi="Arial" w:cs="Arial"/>
      <w:b/>
      <w:bCs/>
      <w:caps/>
      <w:color w:val="336699"/>
      <w:sz w:val="28"/>
      <w:szCs w:val="28"/>
      <w:lang w:val="en-GB" w:eastAsia="en-US" w:bidi="ar-SA"/>
    </w:rPr>
  </w:style>
  <w:style w:type="character" w:customStyle="1" w:styleId="Heading2Char">
    <w:name w:val="Heading 2 Char"/>
    <w:basedOn w:val="DefaultParagraphFont"/>
    <w:link w:val="Heading2"/>
    <w:rsid w:val="009A1915"/>
    <w:rPr>
      <w:rFonts w:ascii="Arial" w:hAnsi="Arial" w:cs="Arial"/>
      <w:b/>
      <w:bCs/>
      <w:i/>
      <w:iCs/>
      <w:color w:val="336699"/>
      <w:sz w:val="24"/>
      <w:szCs w:val="28"/>
      <w:lang w:eastAsia="en-US"/>
    </w:rPr>
  </w:style>
  <w:style w:type="paragraph" w:customStyle="1" w:styleId="FrontPage">
    <w:name w:val="FrontPage"/>
    <w:basedOn w:val="TOC1"/>
    <w:rsid w:val="0035199C"/>
    <w:pPr>
      <w:tabs>
        <w:tab w:val="left" w:pos="400"/>
        <w:tab w:val="right" w:leader="dot" w:pos="8453"/>
      </w:tabs>
      <w:jc w:val="center"/>
    </w:pPr>
    <w:rPr>
      <w:b w:val="0"/>
      <w:color w:val="000080"/>
      <w:sz w:val="44"/>
    </w:rPr>
  </w:style>
  <w:style w:type="paragraph" w:customStyle="1" w:styleId="DatePub">
    <w:name w:val="DatePub"/>
    <w:basedOn w:val="TOC1"/>
    <w:rsid w:val="00B74866"/>
    <w:pPr>
      <w:jc w:val="center"/>
    </w:pPr>
    <w:rPr>
      <w:color w:val="000080"/>
      <w:sz w:val="22"/>
    </w:rPr>
  </w:style>
  <w:style w:type="paragraph" w:customStyle="1" w:styleId="BoldItalic">
    <w:name w:val="Bold + Italic"/>
    <w:basedOn w:val="Normal"/>
    <w:link w:val="BoldItalicChar"/>
    <w:rsid w:val="00BD4014"/>
    <w:rPr>
      <w:rFonts w:cs="Arial"/>
      <w:b/>
      <w:i/>
      <w:sz w:val="22"/>
      <w:szCs w:val="32"/>
    </w:rPr>
  </w:style>
  <w:style w:type="character" w:customStyle="1" w:styleId="ParagraphChar">
    <w:name w:val="Paragraph Char"/>
    <w:basedOn w:val="DefaultParagraphFont"/>
    <w:link w:val="Paragraph"/>
    <w:rsid w:val="00BD4014"/>
    <w:rPr>
      <w:rFonts w:ascii="Arial" w:hAnsi="Arial"/>
      <w:sz w:val="22"/>
      <w:lang w:val="en-GB" w:eastAsia="en-US" w:bidi="ar-SA"/>
    </w:rPr>
  </w:style>
  <w:style w:type="character" w:customStyle="1" w:styleId="BoldItalicChar">
    <w:name w:val="Bold + Italic Char"/>
    <w:basedOn w:val="DefaultParagraphFont"/>
    <w:link w:val="BoldItalic"/>
    <w:rsid w:val="00BD4014"/>
    <w:rPr>
      <w:rFonts w:ascii="Arial" w:hAnsi="Arial" w:cs="Arial"/>
      <w:b/>
      <w:i/>
      <w:sz w:val="22"/>
      <w:szCs w:val="32"/>
      <w:lang w:val="en-GB" w:eastAsia="en-US" w:bidi="ar-SA"/>
    </w:rPr>
  </w:style>
  <w:style w:type="paragraph" w:styleId="BalloonText">
    <w:name w:val="Balloon Text"/>
    <w:basedOn w:val="Normal"/>
    <w:semiHidden/>
    <w:rsid w:val="002E5D22"/>
    <w:rPr>
      <w:rFonts w:ascii="Tahoma" w:hAnsi="Tahoma" w:cs="Tahoma"/>
      <w:sz w:val="16"/>
      <w:szCs w:val="16"/>
    </w:rPr>
  </w:style>
  <w:style w:type="paragraph" w:styleId="FootnoteText">
    <w:name w:val="footnote text"/>
    <w:basedOn w:val="Normal"/>
    <w:semiHidden/>
    <w:rsid w:val="003E26B3"/>
  </w:style>
  <w:style w:type="character" w:styleId="FootnoteReference">
    <w:name w:val="footnote reference"/>
    <w:basedOn w:val="DefaultParagraphFont"/>
    <w:semiHidden/>
    <w:rsid w:val="003E26B3"/>
    <w:rPr>
      <w:vertAlign w:val="superscript"/>
    </w:rPr>
  </w:style>
  <w:style w:type="character" w:styleId="CommentReference">
    <w:name w:val="annotation reference"/>
    <w:basedOn w:val="DefaultParagraphFont"/>
    <w:semiHidden/>
    <w:rsid w:val="00720C51"/>
    <w:rPr>
      <w:sz w:val="16"/>
      <w:szCs w:val="16"/>
    </w:rPr>
  </w:style>
  <w:style w:type="paragraph" w:styleId="CommentText">
    <w:name w:val="annotation text"/>
    <w:basedOn w:val="Normal"/>
    <w:semiHidden/>
    <w:rsid w:val="00720C51"/>
  </w:style>
  <w:style w:type="paragraph" w:styleId="CommentSubject">
    <w:name w:val="annotation subject"/>
    <w:basedOn w:val="CommentText"/>
    <w:next w:val="CommentText"/>
    <w:semiHidden/>
    <w:rsid w:val="00720C51"/>
    <w:rPr>
      <w:b/>
      <w:bCs/>
    </w:rPr>
  </w:style>
  <w:style w:type="character" w:customStyle="1" w:styleId="ParagraphCharChar">
    <w:name w:val="Paragraph Char Char"/>
    <w:basedOn w:val="DefaultParagraphFont"/>
    <w:rsid w:val="001D791C"/>
    <w:rPr>
      <w:b/>
      <w:sz w:val="22"/>
      <w:lang w:val="en-GB" w:eastAsia="en-US" w:bidi="ar-SA"/>
    </w:rPr>
  </w:style>
  <w:style w:type="character" w:styleId="FollowedHyperlink">
    <w:name w:val="FollowedHyperlink"/>
    <w:basedOn w:val="DefaultParagraphFont"/>
    <w:rsid w:val="00D60D05"/>
    <w:rPr>
      <w:color w:val="606420"/>
      <w:u w:val="single"/>
    </w:rPr>
  </w:style>
  <w:style w:type="paragraph" w:customStyle="1" w:styleId="style1">
    <w:name w:val="style1"/>
    <w:basedOn w:val="Normal"/>
    <w:rsid w:val="00CB51D7"/>
    <w:pPr>
      <w:spacing w:before="100" w:beforeAutospacing="1" w:after="100" w:afterAutospacing="1"/>
    </w:pPr>
    <w:rPr>
      <w:rFonts w:cs="Arial"/>
      <w:sz w:val="24"/>
      <w:szCs w:val="24"/>
      <w:lang w:eastAsia="en-GB"/>
    </w:rPr>
  </w:style>
  <w:style w:type="character" w:styleId="Strong">
    <w:name w:val="Strong"/>
    <w:basedOn w:val="DefaultParagraphFont"/>
    <w:qFormat/>
    <w:rsid w:val="00CB51D7"/>
    <w:rPr>
      <w:b/>
      <w:bCs/>
    </w:rPr>
  </w:style>
  <w:style w:type="paragraph" w:customStyle="1" w:styleId="Alpha1">
    <w:name w:val="Alpha 1"/>
    <w:basedOn w:val="Normal"/>
    <w:rsid w:val="00B44129"/>
    <w:pPr>
      <w:tabs>
        <w:tab w:val="left" w:pos="567"/>
        <w:tab w:val="left" w:pos="1134"/>
        <w:tab w:val="right" w:pos="9072"/>
      </w:tabs>
      <w:spacing w:after="0" w:line="360" w:lineRule="auto"/>
      <w:ind w:left="839" w:hanging="357"/>
      <w:jc w:val="center"/>
    </w:pPr>
    <w:rPr>
      <w:rFonts w:ascii="Times New Roman" w:hAnsi="Times New Roman"/>
      <w:b/>
      <w:sz w:val="22"/>
    </w:rPr>
  </w:style>
  <w:style w:type="paragraph" w:styleId="TOC4">
    <w:name w:val="toc 4"/>
    <w:basedOn w:val="Normal"/>
    <w:next w:val="Normal"/>
    <w:autoRedefine/>
    <w:semiHidden/>
    <w:rsid w:val="00422BD7"/>
    <w:pPr>
      <w:spacing w:after="0"/>
      <w:ind w:left="600"/>
    </w:pPr>
    <w:rPr>
      <w:rFonts w:ascii="Times New Roman" w:hAnsi="Times New Roman"/>
      <w:sz w:val="18"/>
      <w:szCs w:val="18"/>
    </w:rPr>
  </w:style>
  <w:style w:type="paragraph" w:styleId="TOC5">
    <w:name w:val="toc 5"/>
    <w:basedOn w:val="Normal"/>
    <w:next w:val="Normal"/>
    <w:autoRedefine/>
    <w:semiHidden/>
    <w:rsid w:val="00422BD7"/>
    <w:pPr>
      <w:spacing w:after="0"/>
      <w:ind w:left="800"/>
    </w:pPr>
    <w:rPr>
      <w:rFonts w:ascii="Times New Roman" w:hAnsi="Times New Roman"/>
      <w:sz w:val="18"/>
      <w:szCs w:val="18"/>
    </w:rPr>
  </w:style>
  <w:style w:type="paragraph" w:styleId="TOC6">
    <w:name w:val="toc 6"/>
    <w:basedOn w:val="Normal"/>
    <w:next w:val="Normal"/>
    <w:autoRedefine/>
    <w:semiHidden/>
    <w:rsid w:val="00422BD7"/>
    <w:pPr>
      <w:spacing w:after="0"/>
      <w:ind w:left="1000"/>
    </w:pPr>
    <w:rPr>
      <w:rFonts w:ascii="Times New Roman" w:hAnsi="Times New Roman"/>
      <w:sz w:val="18"/>
      <w:szCs w:val="18"/>
    </w:rPr>
  </w:style>
  <w:style w:type="paragraph" w:styleId="TOC7">
    <w:name w:val="toc 7"/>
    <w:basedOn w:val="Normal"/>
    <w:next w:val="Normal"/>
    <w:autoRedefine/>
    <w:semiHidden/>
    <w:rsid w:val="00422BD7"/>
    <w:pPr>
      <w:spacing w:after="0"/>
      <w:ind w:left="1200"/>
    </w:pPr>
    <w:rPr>
      <w:rFonts w:ascii="Times New Roman" w:hAnsi="Times New Roman"/>
      <w:sz w:val="18"/>
      <w:szCs w:val="18"/>
    </w:rPr>
  </w:style>
  <w:style w:type="paragraph" w:styleId="TOC8">
    <w:name w:val="toc 8"/>
    <w:basedOn w:val="Normal"/>
    <w:next w:val="Normal"/>
    <w:autoRedefine/>
    <w:semiHidden/>
    <w:rsid w:val="00422BD7"/>
    <w:pPr>
      <w:spacing w:after="0"/>
      <w:ind w:left="1400"/>
    </w:pPr>
    <w:rPr>
      <w:rFonts w:ascii="Times New Roman" w:hAnsi="Times New Roman"/>
      <w:sz w:val="18"/>
      <w:szCs w:val="18"/>
    </w:rPr>
  </w:style>
  <w:style w:type="paragraph" w:styleId="TOC9">
    <w:name w:val="toc 9"/>
    <w:basedOn w:val="Normal"/>
    <w:next w:val="Normal"/>
    <w:autoRedefine/>
    <w:semiHidden/>
    <w:rsid w:val="00422BD7"/>
    <w:pPr>
      <w:spacing w:after="0"/>
      <w:ind w:left="1600"/>
    </w:pPr>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724"/>
    <w:pPr>
      <w:spacing w:after="240"/>
    </w:pPr>
    <w:rPr>
      <w:rFonts w:ascii="Arial" w:hAnsi="Arial"/>
      <w:lang w:eastAsia="en-US"/>
    </w:rPr>
  </w:style>
  <w:style w:type="paragraph" w:styleId="Heading1">
    <w:name w:val="heading 1"/>
    <w:basedOn w:val="Normal"/>
    <w:next w:val="Paragraph"/>
    <w:link w:val="Heading1Char"/>
    <w:autoRedefine/>
    <w:qFormat/>
    <w:rsid w:val="000174BF"/>
    <w:pPr>
      <w:keepNext/>
      <w:tabs>
        <w:tab w:val="left" w:pos="1080"/>
      </w:tabs>
      <w:spacing w:before="480" w:after="60"/>
      <w:ind w:right="-176"/>
      <w:outlineLvl w:val="0"/>
    </w:pPr>
    <w:rPr>
      <w:rFonts w:cs="Arial"/>
      <w:b/>
      <w:bCs/>
      <w:caps/>
      <w:color w:val="336699"/>
      <w:sz w:val="28"/>
      <w:szCs w:val="28"/>
    </w:rPr>
  </w:style>
  <w:style w:type="paragraph" w:styleId="Heading2">
    <w:name w:val="heading 2"/>
    <w:basedOn w:val="Normal"/>
    <w:next w:val="Paragraph"/>
    <w:link w:val="Heading2Char"/>
    <w:autoRedefine/>
    <w:qFormat/>
    <w:rsid w:val="009A1915"/>
    <w:pPr>
      <w:keepNext/>
      <w:spacing w:before="360"/>
      <w:outlineLvl w:val="1"/>
    </w:pPr>
    <w:rPr>
      <w:rFonts w:cs="Arial"/>
      <w:b/>
      <w:bCs/>
      <w:i/>
      <w:iCs/>
      <w:color w:val="336699"/>
      <w:sz w:val="24"/>
      <w:szCs w:val="28"/>
    </w:rPr>
  </w:style>
  <w:style w:type="paragraph" w:styleId="Heading3">
    <w:name w:val="heading 3"/>
    <w:basedOn w:val="Normal"/>
    <w:next w:val="Paragraph"/>
    <w:autoRedefine/>
    <w:qFormat/>
    <w:rsid w:val="00393C9A"/>
    <w:pPr>
      <w:keepNext/>
      <w:numPr>
        <w:ilvl w:val="2"/>
        <w:numId w:val="2"/>
      </w:numPr>
      <w:spacing w:before="240" w:after="60"/>
      <w:outlineLvl w:val="2"/>
    </w:pPr>
    <w:rPr>
      <w:rFonts w:cs="Arial"/>
      <w:b/>
      <w:bCs/>
      <w:color w:val="0000FF"/>
    </w:rPr>
  </w:style>
  <w:style w:type="paragraph" w:styleId="Heading4">
    <w:name w:val="heading 4"/>
    <w:basedOn w:val="Normal"/>
    <w:next w:val="Paragraph"/>
    <w:qFormat/>
    <w:rsid w:val="00953065"/>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Paragraph"/>
    <w:qFormat/>
    <w:rsid w:val="00953065"/>
    <w:pPr>
      <w:numPr>
        <w:ilvl w:val="4"/>
        <w:numId w:val="2"/>
      </w:numPr>
      <w:spacing w:before="240" w:after="60"/>
      <w:outlineLvl w:val="4"/>
    </w:pPr>
    <w:rPr>
      <w:b/>
      <w:bCs/>
      <w:i/>
      <w:iCs/>
      <w:sz w:val="26"/>
      <w:szCs w:val="26"/>
    </w:rPr>
  </w:style>
  <w:style w:type="paragraph" w:styleId="Heading6">
    <w:name w:val="heading 6"/>
    <w:basedOn w:val="Normal"/>
    <w:next w:val="Paragraph"/>
    <w:qFormat/>
    <w:rsid w:val="00953065"/>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Paragraph"/>
    <w:qFormat/>
    <w:rsid w:val="00953065"/>
    <w:pPr>
      <w:numPr>
        <w:ilvl w:val="6"/>
        <w:numId w:val="2"/>
      </w:numPr>
      <w:spacing w:before="240" w:after="60"/>
      <w:outlineLvl w:val="6"/>
    </w:pPr>
    <w:rPr>
      <w:rFonts w:ascii="Times New Roman" w:hAnsi="Times New Roman"/>
      <w:sz w:val="24"/>
      <w:szCs w:val="24"/>
    </w:rPr>
  </w:style>
  <w:style w:type="paragraph" w:styleId="Heading8">
    <w:name w:val="heading 8"/>
    <w:basedOn w:val="Normal"/>
    <w:next w:val="Paragraph"/>
    <w:qFormat/>
    <w:rsid w:val="00953065"/>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Paragraph"/>
    <w:qFormat/>
    <w:rsid w:val="00953065"/>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
    <w:name w:val="Chapter head"/>
    <w:basedOn w:val="Normal"/>
    <w:rsid w:val="00B716F7"/>
    <w:pPr>
      <w:jc w:val="center"/>
    </w:pPr>
    <w:rPr>
      <w:b/>
      <w:sz w:val="32"/>
      <w:szCs w:val="32"/>
      <w:lang w:val="en-US"/>
    </w:rPr>
  </w:style>
  <w:style w:type="paragraph" w:styleId="Header">
    <w:name w:val="header"/>
    <w:basedOn w:val="Normal"/>
    <w:rsid w:val="00F73369"/>
    <w:pPr>
      <w:tabs>
        <w:tab w:val="center" w:pos="4153"/>
        <w:tab w:val="right" w:pos="8306"/>
      </w:tabs>
    </w:pPr>
  </w:style>
  <w:style w:type="paragraph" w:styleId="Footer">
    <w:name w:val="footer"/>
    <w:basedOn w:val="Normal"/>
    <w:rsid w:val="00F73369"/>
    <w:pPr>
      <w:tabs>
        <w:tab w:val="center" w:pos="4153"/>
        <w:tab w:val="right" w:pos="8306"/>
      </w:tabs>
    </w:pPr>
  </w:style>
  <w:style w:type="character" w:styleId="PageNumber">
    <w:name w:val="page number"/>
    <w:basedOn w:val="DefaultParagraphFont"/>
    <w:rsid w:val="00F73369"/>
  </w:style>
  <w:style w:type="paragraph" w:styleId="TOC1">
    <w:name w:val="toc 1"/>
    <w:basedOn w:val="Normal"/>
    <w:next w:val="Normal"/>
    <w:autoRedefine/>
    <w:semiHidden/>
    <w:rsid w:val="008A54EC"/>
    <w:pPr>
      <w:spacing w:before="120" w:after="120"/>
    </w:pPr>
    <w:rPr>
      <w:rFonts w:ascii="Times New Roman" w:hAnsi="Times New Roman"/>
      <w:b/>
      <w:bCs/>
      <w:caps/>
    </w:rPr>
  </w:style>
  <w:style w:type="paragraph" w:styleId="TOC2">
    <w:name w:val="toc 2"/>
    <w:basedOn w:val="Normal"/>
    <w:next w:val="Normal"/>
    <w:autoRedefine/>
    <w:semiHidden/>
    <w:rsid w:val="004C3A00"/>
    <w:pPr>
      <w:spacing w:after="0"/>
      <w:ind w:left="200"/>
    </w:pPr>
    <w:rPr>
      <w:rFonts w:ascii="Times New Roman" w:hAnsi="Times New Roman"/>
      <w:smallCaps/>
    </w:rPr>
  </w:style>
  <w:style w:type="paragraph" w:styleId="TOC3">
    <w:name w:val="toc 3"/>
    <w:basedOn w:val="Normal"/>
    <w:next w:val="Normal"/>
    <w:autoRedefine/>
    <w:semiHidden/>
    <w:rsid w:val="004C3A00"/>
    <w:pPr>
      <w:spacing w:after="0"/>
      <w:ind w:left="400"/>
    </w:pPr>
    <w:rPr>
      <w:rFonts w:ascii="Times New Roman" w:hAnsi="Times New Roman"/>
      <w:i/>
      <w:iCs/>
    </w:rPr>
  </w:style>
  <w:style w:type="character" w:styleId="Hyperlink">
    <w:name w:val="Hyperlink"/>
    <w:basedOn w:val="DefaultParagraphFont"/>
    <w:rsid w:val="00F73369"/>
    <w:rPr>
      <w:color w:val="0000FF"/>
      <w:u w:val="single"/>
    </w:rPr>
  </w:style>
  <w:style w:type="character" w:styleId="LineNumber">
    <w:name w:val="line number"/>
    <w:basedOn w:val="DefaultParagraphFont"/>
    <w:rsid w:val="009D6B51"/>
  </w:style>
  <w:style w:type="character" w:styleId="HTMLCode">
    <w:name w:val="HTML Code"/>
    <w:basedOn w:val="DefaultParagraphFont"/>
    <w:rsid w:val="00A93869"/>
    <w:rPr>
      <w:rFonts w:ascii="Courier New" w:eastAsia="Courier New" w:hAnsi="Courier New" w:cs="Courier New"/>
      <w:sz w:val="20"/>
      <w:szCs w:val="20"/>
    </w:rPr>
  </w:style>
  <w:style w:type="paragraph" w:styleId="Caption">
    <w:name w:val="caption"/>
    <w:basedOn w:val="Normal"/>
    <w:next w:val="Normal"/>
    <w:qFormat/>
    <w:rsid w:val="00A93869"/>
    <w:pPr>
      <w:keepLines/>
      <w:widowControl w:val="0"/>
      <w:numPr>
        <w:numId w:val="1"/>
      </w:numPr>
      <w:spacing w:before="40" w:after="120"/>
    </w:pPr>
    <w:rPr>
      <w:rFonts w:ascii="Times New Roman" w:hAnsi="Times New Roman"/>
      <w:b/>
      <w:lang w:val="en-US"/>
    </w:rPr>
  </w:style>
  <w:style w:type="paragraph" w:styleId="NormalWeb">
    <w:name w:val="Normal (Web)"/>
    <w:basedOn w:val="Normal"/>
    <w:rsid w:val="00A93869"/>
    <w:pPr>
      <w:spacing w:before="100" w:beforeAutospacing="1" w:after="100" w:afterAutospacing="1"/>
    </w:pPr>
    <w:rPr>
      <w:rFonts w:ascii="Times New Roman" w:hAnsi="Times New Roman" w:cs="Arial"/>
      <w:sz w:val="24"/>
      <w:szCs w:val="24"/>
      <w:lang w:val="en-US"/>
    </w:rPr>
  </w:style>
  <w:style w:type="paragraph" w:styleId="BodyText">
    <w:name w:val="Body Text"/>
    <w:basedOn w:val="Normal"/>
    <w:rsid w:val="00A93869"/>
    <w:pPr>
      <w:widowControl w:val="0"/>
      <w:spacing w:before="120" w:after="0"/>
    </w:pPr>
    <w:rPr>
      <w:rFonts w:ascii="Times New Roman" w:hAnsi="Times New Roman"/>
      <w:bCs/>
      <w:iCs/>
      <w:sz w:val="24"/>
      <w:lang w:eastAsia="ko-KR"/>
    </w:rPr>
  </w:style>
  <w:style w:type="paragraph" w:customStyle="1" w:styleId="Paragraph">
    <w:name w:val="Paragraph"/>
    <w:link w:val="ParagraphChar"/>
    <w:rsid w:val="00F63AF1"/>
    <w:pPr>
      <w:jc w:val="both"/>
    </w:pPr>
    <w:rPr>
      <w:rFonts w:ascii="Arial" w:hAnsi="Arial"/>
      <w:sz w:val="22"/>
      <w:lang w:eastAsia="en-US"/>
    </w:rPr>
  </w:style>
  <w:style w:type="paragraph" w:customStyle="1" w:styleId="Footerempty">
    <w:name w:val="Footerempty"/>
    <w:basedOn w:val="Footer"/>
    <w:rsid w:val="00A83C8D"/>
    <w:pPr>
      <w:tabs>
        <w:tab w:val="clear" w:pos="4153"/>
        <w:tab w:val="clear" w:pos="8306"/>
        <w:tab w:val="center" w:pos="4536"/>
        <w:tab w:val="right" w:pos="9072"/>
      </w:tabs>
      <w:spacing w:after="0"/>
    </w:pPr>
    <w:rPr>
      <w:color w:val="FFFFFF"/>
      <w:sz w:val="2"/>
    </w:rPr>
  </w:style>
  <w:style w:type="character" w:customStyle="1" w:styleId="Heading1Char">
    <w:name w:val="Heading 1 Char"/>
    <w:basedOn w:val="DefaultParagraphFont"/>
    <w:link w:val="Heading1"/>
    <w:rsid w:val="000174BF"/>
    <w:rPr>
      <w:rFonts w:ascii="Arial" w:hAnsi="Arial" w:cs="Arial"/>
      <w:b/>
      <w:bCs/>
      <w:caps/>
      <w:color w:val="336699"/>
      <w:sz w:val="28"/>
      <w:szCs w:val="28"/>
      <w:lang w:val="en-GB" w:eastAsia="en-US" w:bidi="ar-SA"/>
    </w:rPr>
  </w:style>
  <w:style w:type="character" w:customStyle="1" w:styleId="Heading2Char">
    <w:name w:val="Heading 2 Char"/>
    <w:basedOn w:val="DefaultParagraphFont"/>
    <w:link w:val="Heading2"/>
    <w:rsid w:val="009A1915"/>
    <w:rPr>
      <w:rFonts w:ascii="Arial" w:hAnsi="Arial" w:cs="Arial"/>
      <w:b/>
      <w:bCs/>
      <w:i/>
      <w:iCs/>
      <w:color w:val="336699"/>
      <w:sz w:val="24"/>
      <w:szCs w:val="28"/>
      <w:lang w:eastAsia="en-US"/>
    </w:rPr>
  </w:style>
  <w:style w:type="paragraph" w:customStyle="1" w:styleId="FrontPage">
    <w:name w:val="FrontPage"/>
    <w:basedOn w:val="TOC1"/>
    <w:rsid w:val="0035199C"/>
    <w:pPr>
      <w:tabs>
        <w:tab w:val="left" w:pos="400"/>
        <w:tab w:val="right" w:leader="dot" w:pos="8453"/>
      </w:tabs>
      <w:jc w:val="center"/>
    </w:pPr>
    <w:rPr>
      <w:b w:val="0"/>
      <w:color w:val="000080"/>
      <w:sz w:val="44"/>
    </w:rPr>
  </w:style>
  <w:style w:type="paragraph" w:customStyle="1" w:styleId="DatePub">
    <w:name w:val="DatePub"/>
    <w:basedOn w:val="TOC1"/>
    <w:rsid w:val="00B74866"/>
    <w:pPr>
      <w:jc w:val="center"/>
    </w:pPr>
    <w:rPr>
      <w:color w:val="000080"/>
      <w:sz w:val="22"/>
    </w:rPr>
  </w:style>
  <w:style w:type="paragraph" w:customStyle="1" w:styleId="BoldItalic">
    <w:name w:val="Bold + Italic"/>
    <w:basedOn w:val="Normal"/>
    <w:link w:val="BoldItalicChar"/>
    <w:rsid w:val="00BD4014"/>
    <w:rPr>
      <w:rFonts w:cs="Arial"/>
      <w:b/>
      <w:i/>
      <w:sz w:val="22"/>
      <w:szCs w:val="32"/>
    </w:rPr>
  </w:style>
  <w:style w:type="character" w:customStyle="1" w:styleId="ParagraphChar">
    <w:name w:val="Paragraph Char"/>
    <w:basedOn w:val="DefaultParagraphFont"/>
    <w:link w:val="Paragraph"/>
    <w:rsid w:val="00BD4014"/>
    <w:rPr>
      <w:rFonts w:ascii="Arial" w:hAnsi="Arial"/>
      <w:sz w:val="22"/>
      <w:lang w:val="en-GB" w:eastAsia="en-US" w:bidi="ar-SA"/>
    </w:rPr>
  </w:style>
  <w:style w:type="character" w:customStyle="1" w:styleId="BoldItalicChar">
    <w:name w:val="Bold + Italic Char"/>
    <w:basedOn w:val="DefaultParagraphFont"/>
    <w:link w:val="BoldItalic"/>
    <w:rsid w:val="00BD4014"/>
    <w:rPr>
      <w:rFonts w:ascii="Arial" w:hAnsi="Arial" w:cs="Arial"/>
      <w:b/>
      <w:i/>
      <w:sz w:val="22"/>
      <w:szCs w:val="32"/>
      <w:lang w:val="en-GB" w:eastAsia="en-US" w:bidi="ar-SA"/>
    </w:rPr>
  </w:style>
  <w:style w:type="paragraph" w:styleId="BalloonText">
    <w:name w:val="Balloon Text"/>
    <w:basedOn w:val="Normal"/>
    <w:semiHidden/>
    <w:rsid w:val="002E5D22"/>
    <w:rPr>
      <w:rFonts w:ascii="Tahoma" w:hAnsi="Tahoma" w:cs="Tahoma"/>
      <w:sz w:val="16"/>
      <w:szCs w:val="16"/>
    </w:rPr>
  </w:style>
  <w:style w:type="paragraph" w:styleId="FootnoteText">
    <w:name w:val="footnote text"/>
    <w:basedOn w:val="Normal"/>
    <w:semiHidden/>
    <w:rsid w:val="003E26B3"/>
  </w:style>
  <w:style w:type="character" w:styleId="FootnoteReference">
    <w:name w:val="footnote reference"/>
    <w:basedOn w:val="DefaultParagraphFont"/>
    <w:semiHidden/>
    <w:rsid w:val="003E26B3"/>
    <w:rPr>
      <w:vertAlign w:val="superscript"/>
    </w:rPr>
  </w:style>
  <w:style w:type="character" w:styleId="CommentReference">
    <w:name w:val="annotation reference"/>
    <w:basedOn w:val="DefaultParagraphFont"/>
    <w:semiHidden/>
    <w:rsid w:val="00720C51"/>
    <w:rPr>
      <w:sz w:val="16"/>
      <w:szCs w:val="16"/>
    </w:rPr>
  </w:style>
  <w:style w:type="paragraph" w:styleId="CommentText">
    <w:name w:val="annotation text"/>
    <w:basedOn w:val="Normal"/>
    <w:semiHidden/>
    <w:rsid w:val="00720C51"/>
  </w:style>
  <w:style w:type="paragraph" w:styleId="CommentSubject">
    <w:name w:val="annotation subject"/>
    <w:basedOn w:val="CommentText"/>
    <w:next w:val="CommentText"/>
    <w:semiHidden/>
    <w:rsid w:val="00720C51"/>
    <w:rPr>
      <w:b/>
      <w:bCs/>
    </w:rPr>
  </w:style>
  <w:style w:type="character" w:customStyle="1" w:styleId="ParagraphCharChar">
    <w:name w:val="Paragraph Char Char"/>
    <w:basedOn w:val="DefaultParagraphFont"/>
    <w:rsid w:val="001D791C"/>
    <w:rPr>
      <w:b/>
      <w:sz w:val="22"/>
      <w:lang w:val="en-GB" w:eastAsia="en-US" w:bidi="ar-SA"/>
    </w:rPr>
  </w:style>
  <w:style w:type="character" w:styleId="FollowedHyperlink">
    <w:name w:val="FollowedHyperlink"/>
    <w:basedOn w:val="DefaultParagraphFont"/>
    <w:rsid w:val="00D60D05"/>
    <w:rPr>
      <w:color w:val="606420"/>
      <w:u w:val="single"/>
    </w:rPr>
  </w:style>
  <w:style w:type="paragraph" w:customStyle="1" w:styleId="style1">
    <w:name w:val="style1"/>
    <w:basedOn w:val="Normal"/>
    <w:rsid w:val="00CB51D7"/>
    <w:pPr>
      <w:spacing w:before="100" w:beforeAutospacing="1" w:after="100" w:afterAutospacing="1"/>
    </w:pPr>
    <w:rPr>
      <w:rFonts w:cs="Arial"/>
      <w:sz w:val="24"/>
      <w:szCs w:val="24"/>
      <w:lang w:eastAsia="en-GB"/>
    </w:rPr>
  </w:style>
  <w:style w:type="character" w:styleId="Strong">
    <w:name w:val="Strong"/>
    <w:basedOn w:val="DefaultParagraphFont"/>
    <w:qFormat/>
    <w:rsid w:val="00CB51D7"/>
    <w:rPr>
      <w:b/>
      <w:bCs/>
    </w:rPr>
  </w:style>
  <w:style w:type="paragraph" w:customStyle="1" w:styleId="Alpha1">
    <w:name w:val="Alpha 1"/>
    <w:basedOn w:val="Normal"/>
    <w:rsid w:val="00B44129"/>
    <w:pPr>
      <w:tabs>
        <w:tab w:val="left" w:pos="567"/>
        <w:tab w:val="left" w:pos="1134"/>
        <w:tab w:val="right" w:pos="9072"/>
      </w:tabs>
      <w:spacing w:after="0" w:line="360" w:lineRule="auto"/>
      <w:ind w:left="839" w:hanging="357"/>
      <w:jc w:val="center"/>
    </w:pPr>
    <w:rPr>
      <w:rFonts w:ascii="Times New Roman" w:hAnsi="Times New Roman"/>
      <w:b/>
      <w:sz w:val="22"/>
    </w:rPr>
  </w:style>
  <w:style w:type="paragraph" w:styleId="TOC4">
    <w:name w:val="toc 4"/>
    <w:basedOn w:val="Normal"/>
    <w:next w:val="Normal"/>
    <w:autoRedefine/>
    <w:semiHidden/>
    <w:rsid w:val="00422BD7"/>
    <w:pPr>
      <w:spacing w:after="0"/>
      <w:ind w:left="600"/>
    </w:pPr>
    <w:rPr>
      <w:rFonts w:ascii="Times New Roman" w:hAnsi="Times New Roman"/>
      <w:sz w:val="18"/>
      <w:szCs w:val="18"/>
    </w:rPr>
  </w:style>
  <w:style w:type="paragraph" w:styleId="TOC5">
    <w:name w:val="toc 5"/>
    <w:basedOn w:val="Normal"/>
    <w:next w:val="Normal"/>
    <w:autoRedefine/>
    <w:semiHidden/>
    <w:rsid w:val="00422BD7"/>
    <w:pPr>
      <w:spacing w:after="0"/>
      <w:ind w:left="800"/>
    </w:pPr>
    <w:rPr>
      <w:rFonts w:ascii="Times New Roman" w:hAnsi="Times New Roman"/>
      <w:sz w:val="18"/>
      <w:szCs w:val="18"/>
    </w:rPr>
  </w:style>
  <w:style w:type="paragraph" w:styleId="TOC6">
    <w:name w:val="toc 6"/>
    <w:basedOn w:val="Normal"/>
    <w:next w:val="Normal"/>
    <w:autoRedefine/>
    <w:semiHidden/>
    <w:rsid w:val="00422BD7"/>
    <w:pPr>
      <w:spacing w:after="0"/>
      <w:ind w:left="1000"/>
    </w:pPr>
    <w:rPr>
      <w:rFonts w:ascii="Times New Roman" w:hAnsi="Times New Roman"/>
      <w:sz w:val="18"/>
      <w:szCs w:val="18"/>
    </w:rPr>
  </w:style>
  <w:style w:type="paragraph" w:styleId="TOC7">
    <w:name w:val="toc 7"/>
    <w:basedOn w:val="Normal"/>
    <w:next w:val="Normal"/>
    <w:autoRedefine/>
    <w:semiHidden/>
    <w:rsid w:val="00422BD7"/>
    <w:pPr>
      <w:spacing w:after="0"/>
      <w:ind w:left="1200"/>
    </w:pPr>
    <w:rPr>
      <w:rFonts w:ascii="Times New Roman" w:hAnsi="Times New Roman"/>
      <w:sz w:val="18"/>
      <w:szCs w:val="18"/>
    </w:rPr>
  </w:style>
  <w:style w:type="paragraph" w:styleId="TOC8">
    <w:name w:val="toc 8"/>
    <w:basedOn w:val="Normal"/>
    <w:next w:val="Normal"/>
    <w:autoRedefine/>
    <w:semiHidden/>
    <w:rsid w:val="00422BD7"/>
    <w:pPr>
      <w:spacing w:after="0"/>
      <w:ind w:left="1400"/>
    </w:pPr>
    <w:rPr>
      <w:rFonts w:ascii="Times New Roman" w:hAnsi="Times New Roman"/>
      <w:sz w:val="18"/>
      <w:szCs w:val="18"/>
    </w:rPr>
  </w:style>
  <w:style w:type="paragraph" w:styleId="TOC9">
    <w:name w:val="toc 9"/>
    <w:basedOn w:val="Normal"/>
    <w:next w:val="Normal"/>
    <w:autoRedefine/>
    <w:semiHidden/>
    <w:rsid w:val="00422BD7"/>
    <w:pPr>
      <w:spacing w:after="0"/>
      <w:ind w:left="1600"/>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2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DMX-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SDMX-Template.dot</Template>
  <TotalTime>52</TotalTime>
  <Pages>2</Pages>
  <Words>668</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SDMX Code lists</vt:lpstr>
    </vt:vector>
  </TitlesOfParts>
  <Company>European Commission</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SDMX Code lists</dc:title>
  <dc:creator>C. Androvitsaneas</dc:creator>
  <cp:lastModifiedBy>DELCAMBRE Danny (ESTAT)</cp:lastModifiedBy>
  <cp:revision>11</cp:revision>
  <cp:lastPrinted>2008-12-11T08:42:00Z</cp:lastPrinted>
  <dcterms:created xsi:type="dcterms:W3CDTF">2017-07-21T09:09:00Z</dcterms:created>
  <dcterms:modified xsi:type="dcterms:W3CDTF">2017-09-20T10:06:00Z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